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EB77D" w14:textId="592C304E" w:rsidR="00396E03" w:rsidRPr="0073487D" w:rsidRDefault="006F6F99" w:rsidP="0073487D">
      <w:pPr>
        <w:pStyle w:val="Stopka"/>
        <w:jc w:val="both"/>
        <w:rPr>
          <w:rFonts w:ascii="Arial" w:hAnsi="Arial" w:cs="Arial"/>
        </w:rPr>
      </w:pPr>
      <w:r>
        <w:rPr>
          <w:rFonts w:asciiTheme="minorHAnsi" w:hAnsiTheme="minorHAnsi" w:cstheme="minorHAnsi"/>
          <w:i/>
          <w:noProof/>
          <w:sz w:val="14"/>
          <w:szCs w:val="14"/>
        </w:rPr>
        <w:drawing>
          <wp:inline distT="0" distB="0" distL="0" distR="0" wp14:anchorId="05EB335D" wp14:editId="62545ACC">
            <wp:extent cx="1469390" cy="597535"/>
            <wp:effectExtent l="0" t="0" r="0" b="0"/>
            <wp:docPr id="29" name="Obraz 29" descr="Obraz zawierający Czcionka, tekst,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descr="Obraz zawierający Czcionka, tekst, Grafika,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9390" cy="597535"/>
                    </a:xfrm>
                    <a:prstGeom prst="rect">
                      <a:avLst/>
                    </a:prstGeom>
                    <a:noFill/>
                  </pic:spPr>
                </pic:pic>
              </a:graphicData>
            </a:graphic>
          </wp:inline>
        </w:drawing>
      </w:r>
    </w:p>
    <w:p w14:paraId="70B43301" w14:textId="712E1746" w:rsidR="00B01CC4" w:rsidRPr="0073487D" w:rsidRDefault="00B01CC4" w:rsidP="0073487D">
      <w:pPr>
        <w:pStyle w:val="Nagwek1"/>
        <w:jc w:val="both"/>
        <w:rPr>
          <w:rFonts w:asciiTheme="minorHAnsi" w:hAnsiTheme="minorHAnsi" w:cstheme="minorHAnsi"/>
          <w:b w:val="0"/>
          <w:i/>
          <w:sz w:val="18"/>
          <w:szCs w:val="18"/>
          <w:lang w:val="pl-PL"/>
        </w:rPr>
      </w:pPr>
    </w:p>
    <w:p w14:paraId="59863661" w14:textId="77777777" w:rsidR="006F6F99" w:rsidRPr="00794009" w:rsidRDefault="006F6F99" w:rsidP="006F6F99">
      <w:pPr>
        <w:keepNext/>
        <w:jc w:val="right"/>
        <w:outlineLvl w:val="0"/>
        <w:rPr>
          <w:rFonts w:ascii="Calibri" w:hAnsi="Calibri"/>
          <w:b/>
          <w:i/>
          <w:color w:val="7F7F7F"/>
          <w:sz w:val="16"/>
          <w:szCs w:val="16"/>
          <w:lang w:val="x-none" w:eastAsia="x-none"/>
        </w:rPr>
      </w:pPr>
      <w:r w:rsidRPr="00794009">
        <w:rPr>
          <w:rFonts w:ascii="Arial" w:hAnsi="Arial" w:cs="Arial"/>
          <w:i/>
          <w:color w:val="7F7F7F"/>
          <w:sz w:val="16"/>
          <w:szCs w:val="16"/>
          <w:lang w:val="x-none" w:eastAsia="x-none"/>
        </w:rPr>
        <w:t xml:space="preserve">Załącznik nr </w:t>
      </w:r>
      <w:r w:rsidRPr="00794009">
        <w:rPr>
          <w:rFonts w:ascii="Arial" w:hAnsi="Arial" w:cs="Arial"/>
          <w:i/>
          <w:color w:val="7F7F7F"/>
          <w:sz w:val="16"/>
          <w:szCs w:val="16"/>
          <w:lang w:eastAsia="x-none"/>
        </w:rPr>
        <w:t xml:space="preserve">19 </w:t>
      </w:r>
      <w:r w:rsidRPr="00794009">
        <w:rPr>
          <w:rFonts w:ascii="Arial" w:hAnsi="Arial" w:cs="Arial"/>
          <w:i/>
          <w:color w:val="7F7F7F"/>
          <w:sz w:val="16"/>
          <w:szCs w:val="16"/>
          <w:lang w:val="x-none" w:eastAsia="x-none"/>
        </w:rPr>
        <w:t>do Instrukcji udzielania osobom</w:t>
      </w:r>
      <w:r w:rsidRPr="00794009">
        <w:rPr>
          <w:rFonts w:ascii="Arial" w:hAnsi="Arial" w:cs="Arial"/>
          <w:i/>
          <w:color w:val="7F7F7F"/>
          <w:sz w:val="16"/>
          <w:szCs w:val="16"/>
          <w:lang w:eastAsia="x-none"/>
        </w:rPr>
        <w:t xml:space="preserve"> </w:t>
      </w:r>
      <w:r w:rsidRPr="00794009">
        <w:rPr>
          <w:rFonts w:ascii="Arial" w:hAnsi="Arial" w:cs="Arial"/>
          <w:i/>
          <w:color w:val="7F7F7F"/>
          <w:sz w:val="16"/>
          <w:szCs w:val="16"/>
          <w:lang w:val="x-none" w:eastAsia="x-none"/>
        </w:rPr>
        <w:t>fizycznym</w:t>
      </w:r>
      <w:r w:rsidRPr="00794009">
        <w:rPr>
          <w:rFonts w:ascii="Arial" w:hAnsi="Arial" w:cs="Arial"/>
          <w:i/>
          <w:color w:val="7F7F7F"/>
          <w:sz w:val="16"/>
          <w:szCs w:val="16"/>
          <w:lang w:eastAsia="x-none"/>
        </w:rPr>
        <w:t xml:space="preserve"> </w:t>
      </w:r>
      <w:r w:rsidRPr="00794009">
        <w:rPr>
          <w:rFonts w:ascii="Arial" w:hAnsi="Arial" w:cs="Arial"/>
          <w:i/>
          <w:color w:val="7F7F7F"/>
          <w:sz w:val="16"/>
          <w:szCs w:val="16"/>
          <w:lang w:val="x-none" w:eastAsia="x-none"/>
        </w:rPr>
        <w:t>kredytów</w:t>
      </w:r>
    </w:p>
    <w:p w14:paraId="0CE11563" w14:textId="77777777" w:rsidR="006F6F99" w:rsidRPr="00794009" w:rsidRDefault="006F6F99" w:rsidP="006F6F99">
      <w:pPr>
        <w:keepNext/>
        <w:jc w:val="center"/>
        <w:outlineLvl w:val="0"/>
        <w:rPr>
          <w:rFonts w:ascii="Arial" w:hAnsi="Arial" w:cs="Arial"/>
          <w:color w:val="008364"/>
          <w:sz w:val="16"/>
          <w:szCs w:val="16"/>
          <w:lang w:val="x-none" w:eastAsia="x-none"/>
        </w:rPr>
      </w:pPr>
      <w:r w:rsidRPr="00794009">
        <w:rPr>
          <w:rFonts w:ascii="Calibri" w:hAnsi="Calibri"/>
          <w:b/>
          <w:i/>
          <w:color w:val="7F7F7F"/>
          <w:sz w:val="16"/>
          <w:szCs w:val="16"/>
          <w:lang w:eastAsia="x-none"/>
        </w:rPr>
        <w:t xml:space="preserve">                                                                                                                                    </w:t>
      </w:r>
      <w:r>
        <w:rPr>
          <w:rFonts w:ascii="Calibri" w:hAnsi="Calibri"/>
          <w:b/>
          <w:i/>
          <w:color w:val="7F7F7F"/>
          <w:sz w:val="16"/>
          <w:szCs w:val="16"/>
          <w:lang w:eastAsia="x-none"/>
        </w:rPr>
        <w:t xml:space="preserve">       </w:t>
      </w:r>
      <w:r w:rsidRPr="00794009">
        <w:rPr>
          <w:rFonts w:ascii="Arial" w:hAnsi="Arial" w:cs="Arial"/>
          <w:i/>
          <w:color w:val="7F7F7F"/>
          <w:sz w:val="16"/>
          <w:szCs w:val="16"/>
          <w:lang w:val="x-none" w:eastAsia="x-none"/>
        </w:rPr>
        <w:t xml:space="preserve">zabezpieczonych hipotecznie w </w:t>
      </w:r>
      <w:proofErr w:type="spellStart"/>
      <w:r w:rsidRPr="00794009">
        <w:rPr>
          <w:rFonts w:ascii="Arial" w:hAnsi="Arial" w:cs="Arial"/>
          <w:i/>
          <w:color w:val="7F7F7F"/>
          <w:sz w:val="16"/>
          <w:szCs w:val="16"/>
          <w:lang w:val="x-none" w:eastAsia="x-none"/>
        </w:rPr>
        <w:t>Mazovia</w:t>
      </w:r>
      <w:proofErr w:type="spellEnd"/>
      <w:r w:rsidRPr="00794009">
        <w:rPr>
          <w:rFonts w:ascii="Arial" w:hAnsi="Arial" w:cs="Arial"/>
          <w:i/>
          <w:color w:val="7F7F7F"/>
          <w:sz w:val="16"/>
          <w:szCs w:val="16"/>
          <w:lang w:val="x-none" w:eastAsia="x-none"/>
        </w:rPr>
        <w:t xml:space="preserve"> Banku Spółdzielczym</w:t>
      </w:r>
    </w:p>
    <w:p w14:paraId="7606CCFA" w14:textId="77777777" w:rsidR="00B01CC4" w:rsidRPr="0073487D" w:rsidRDefault="00B01CC4" w:rsidP="0073487D">
      <w:pPr>
        <w:pStyle w:val="Nagwek1"/>
        <w:jc w:val="both"/>
        <w:rPr>
          <w:rFonts w:asciiTheme="minorHAnsi" w:hAnsiTheme="minorHAnsi" w:cstheme="minorHAnsi"/>
          <w:sz w:val="24"/>
          <w:szCs w:val="24"/>
        </w:rPr>
      </w:pPr>
    </w:p>
    <w:p w14:paraId="1044772C" w14:textId="77777777" w:rsidR="00D6203B" w:rsidRDefault="00B65965" w:rsidP="00D6203B">
      <w:pPr>
        <w:pStyle w:val="Nagwek1"/>
        <w:rPr>
          <w:rFonts w:asciiTheme="minorHAnsi" w:hAnsiTheme="minorHAnsi" w:cstheme="minorHAnsi"/>
          <w:sz w:val="24"/>
          <w:szCs w:val="24"/>
        </w:rPr>
      </w:pPr>
      <w:r w:rsidRPr="0073487D">
        <w:rPr>
          <w:rFonts w:asciiTheme="minorHAnsi" w:hAnsiTheme="minorHAnsi" w:cstheme="minorHAnsi"/>
          <w:sz w:val="24"/>
          <w:szCs w:val="24"/>
        </w:rPr>
        <w:t xml:space="preserve">INFORMACJA DLA KREDYTOBIORCY </w:t>
      </w:r>
      <w:r w:rsidR="00937D52" w:rsidRPr="0073487D">
        <w:rPr>
          <w:rFonts w:asciiTheme="minorHAnsi" w:hAnsiTheme="minorHAnsi" w:cstheme="minorHAnsi"/>
          <w:sz w:val="24"/>
          <w:szCs w:val="24"/>
        </w:rPr>
        <w:t xml:space="preserve">O RYZYKACH ZWIĄZANYCH </w:t>
      </w:r>
    </w:p>
    <w:p w14:paraId="00BA0AD9" w14:textId="0AD45EC6" w:rsidR="00B65965" w:rsidRPr="0073487D" w:rsidRDefault="00937D52" w:rsidP="00D6203B">
      <w:pPr>
        <w:pStyle w:val="Nagwek1"/>
        <w:rPr>
          <w:rFonts w:asciiTheme="minorHAnsi" w:hAnsiTheme="minorHAnsi" w:cstheme="minorHAnsi"/>
          <w:sz w:val="24"/>
          <w:szCs w:val="24"/>
        </w:rPr>
      </w:pPr>
      <w:r w:rsidRPr="0073487D">
        <w:rPr>
          <w:rFonts w:asciiTheme="minorHAnsi" w:hAnsiTheme="minorHAnsi" w:cstheme="minorHAnsi"/>
          <w:sz w:val="24"/>
          <w:szCs w:val="24"/>
        </w:rPr>
        <w:t>Z KREDYTEM ZABEZPIECZONYM</w:t>
      </w:r>
      <w:r w:rsidR="00B65965" w:rsidRPr="0073487D">
        <w:rPr>
          <w:rFonts w:asciiTheme="minorHAnsi" w:hAnsiTheme="minorHAnsi" w:cstheme="minorHAnsi"/>
          <w:sz w:val="24"/>
          <w:szCs w:val="24"/>
        </w:rPr>
        <w:t xml:space="preserve"> HIPOTECZNIE</w:t>
      </w:r>
    </w:p>
    <w:p w14:paraId="7C3ED582" w14:textId="71148CC9" w:rsidR="00DF4BAB" w:rsidRPr="0073487D" w:rsidRDefault="002F5F5F" w:rsidP="0073487D">
      <w:pPr>
        <w:spacing w:before="120"/>
        <w:jc w:val="both"/>
        <w:rPr>
          <w:rFonts w:asciiTheme="minorHAnsi" w:hAnsiTheme="minorHAnsi" w:cstheme="minorHAnsi"/>
          <w:sz w:val="24"/>
          <w:szCs w:val="24"/>
        </w:rPr>
      </w:pPr>
      <w:r w:rsidRPr="0073487D">
        <w:rPr>
          <w:rFonts w:asciiTheme="minorHAnsi" w:hAnsiTheme="minorHAnsi" w:cstheme="minorHAnsi"/>
          <w:noProof/>
        </w:rPr>
        <mc:AlternateContent>
          <mc:Choice Requires="wps">
            <w:drawing>
              <wp:anchor distT="0" distB="0" distL="114300" distR="114300" simplePos="0" relativeHeight="251654144" behindDoc="0" locked="0" layoutInCell="1" allowOverlap="1" wp14:anchorId="1457B6B0" wp14:editId="2913A102">
                <wp:simplePos x="0" y="0"/>
                <wp:positionH relativeFrom="column">
                  <wp:posOffset>14605</wp:posOffset>
                </wp:positionH>
                <wp:positionV relativeFrom="paragraph">
                  <wp:posOffset>109855</wp:posOffset>
                </wp:positionV>
                <wp:extent cx="6451600" cy="161290"/>
                <wp:effectExtent l="0" t="0" r="6350" b="0"/>
                <wp:wrapNone/>
                <wp:docPr id="1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161290"/>
                        </a:xfrm>
                        <a:prstGeom prst="rect">
                          <a:avLst/>
                        </a:prstGeom>
                        <a:solidFill>
                          <a:srgbClr val="00926C"/>
                        </a:solidFill>
                        <a:ln w="9525">
                          <a:solidFill>
                            <a:srgbClr val="000000"/>
                          </a:solidFill>
                          <a:miter lim="800000"/>
                          <a:headEnd/>
                          <a:tailEnd/>
                        </a:ln>
                      </wps:spPr>
                      <wps:txbx>
                        <w:txbxContent>
                          <w:p w14:paraId="7D795D99" w14:textId="77777777" w:rsidR="000E51E3" w:rsidRPr="00FE7EA3" w:rsidRDefault="000E51E3" w:rsidP="000E51E3">
                            <w:pPr>
                              <w:rPr>
                                <w:rFonts w:asciiTheme="minorHAnsi" w:hAnsiTheme="minorHAnsi" w:cstheme="minorHAnsi"/>
                                <w:b/>
                                <w:color w:val="FFFFFF"/>
                                <w:sz w:val="18"/>
                              </w:rPr>
                            </w:pPr>
                            <w:r w:rsidRPr="00FE7EA3">
                              <w:rPr>
                                <w:rFonts w:asciiTheme="minorHAnsi" w:hAnsiTheme="minorHAnsi" w:cstheme="minorHAnsi"/>
                                <w:b/>
                                <w:color w:val="FFFFFF"/>
                                <w:sz w:val="18"/>
                              </w:rPr>
                              <w:t>WSTĘP</w:t>
                            </w:r>
                          </w:p>
                          <w:p w14:paraId="3408BA3B" w14:textId="77777777" w:rsidR="000E51E3" w:rsidRPr="00DD1C16" w:rsidRDefault="000E51E3" w:rsidP="000E51E3">
                            <w:pPr>
                              <w:rPr>
                                <w:b/>
                                <w:color w:val="FFFFFF"/>
                                <w:sz w:val="18"/>
                              </w:rPr>
                            </w:pPr>
                          </w:p>
                          <w:p w14:paraId="4DDD48D1" w14:textId="77777777" w:rsidR="000E51E3" w:rsidRPr="00DD1C16" w:rsidRDefault="000E51E3" w:rsidP="000E51E3">
                            <w:pPr>
                              <w:rPr>
                                <w:b/>
                                <w:color w:val="FFFFFF"/>
                                <w:sz w:val="18"/>
                              </w:rPr>
                            </w:pPr>
                          </w:p>
                          <w:p w14:paraId="3D3F5C88" w14:textId="77777777" w:rsidR="000E51E3" w:rsidRPr="00DD1C16" w:rsidRDefault="000E51E3" w:rsidP="000E51E3">
                            <w:pPr>
                              <w:rPr>
                                <w:b/>
                                <w:color w:val="FFFFFF"/>
                                <w:sz w:val="18"/>
                              </w:rPr>
                            </w:pPr>
                          </w:p>
                          <w:p w14:paraId="42CDA8BE" w14:textId="77777777" w:rsidR="000E51E3" w:rsidRPr="00DD1C16" w:rsidRDefault="000E51E3" w:rsidP="000E51E3">
                            <w:pPr>
                              <w:rPr>
                                <w:b/>
                                <w:color w:val="FFFFFF"/>
                                <w:sz w:val="18"/>
                              </w:rPr>
                            </w:pPr>
                          </w:p>
                          <w:p w14:paraId="66CF6AF8" w14:textId="77777777" w:rsidR="000E51E3" w:rsidRPr="00DD1C16" w:rsidRDefault="000E51E3" w:rsidP="000E51E3">
                            <w:pPr>
                              <w:rPr>
                                <w:b/>
                                <w:color w:val="FFFFFF"/>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7B6B0" id="Prostokąt 2" o:spid="_x0000_s1026" style="position:absolute;left:0;text-align:left;margin-left:1.15pt;margin-top:8.65pt;width:508pt;height:1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" fillcolor="#00926c">
                <v:textbox inset=",0,,0">
                  <w:txbxContent>
                    <w:p w14:paraId="7D795D99" w14:textId="77777777" w:rsidR="000E51E3" w:rsidRPr="00FE7EA3" w:rsidRDefault="000E51E3" w:rsidP="000E51E3">
                      <w:pPr>
                        <w:rPr>
                          <w:rFonts w:asciiTheme="minorHAnsi" w:hAnsiTheme="minorHAnsi" w:cstheme="minorHAnsi"/>
                          <w:b/>
                          <w:color w:val="FFFFFF"/>
                          <w:sz w:val="18"/>
                        </w:rPr>
                      </w:pPr>
                      <w:r w:rsidRPr="00FE7EA3">
                        <w:rPr>
                          <w:rFonts w:asciiTheme="minorHAnsi" w:hAnsiTheme="minorHAnsi" w:cstheme="minorHAnsi"/>
                          <w:b/>
                          <w:color w:val="FFFFFF"/>
                          <w:sz w:val="18"/>
                        </w:rPr>
                        <w:t>WSTĘP</w:t>
                      </w:r>
                    </w:p>
                    <w:p w14:paraId="3408BA3B" w14:textId="77777777" w:rsidR="000E51E3" w:rsidRPr="00DD1C16" w:rsidRDefault="000E51E3" w:rsidP="000E51E3">
                      <w:pPr>
                        <w:rPr>
                          <w:b/>
                          <w:color w:val="FFFFFF"/>
                          <w:sz w:val="18"/>
                        </w:rPr>
                      </w:pPr>
                    </w:p>
                    <w:p w14:paraId="4DDD48D1" w14:textId="77777777" w:rsidR="000E51E3" w:rsidRPr="00DD1C16" w:rsidRDefault="000E51E3" w:rsidP="000E51E3">
                      <w:pPr>
                        <w:rPr>
                          <w:b/>
                          <w:color w:val="FFFFFF"/>
                          <w:sz w:val="18"/>
                        </w:rPr>
                      </w:pPr>
                    </w:p>
                    <w:p w14:paraId="3D3F5C88" w14:textId="77777777" w:rsidR="000E51E3" w:rsidRPr="00DD1C16" w:rsidRDefault="000E51E3" w:rsidP="000E51E3">
                      <w:pPr>
                        <w:rPr>
                          <w:b/>
                          <w:color w:val="FFFFFF"/>
                          <w:sz w:val="18"/>
                        </w:rPr>
                      </w:pPr>
                    </w:p>
                    <w:p w14:paraId="42CDA8BE" w14:textId="77777777" w:rsidR="000E51E3" w:rsidRPr="00DD1C16" w:rsidRDefault="000E51E3" w:rsidP="000E51E3">
                      <w:pPr>
                        <w:rPr>
                          <w:b/>
                          <w:color w:val="FFFFFF"/>
                          <w:sz w:val="18"/>
                        </w:rPr>
                      </w:pPr>
                    </w:p>
                    <w:p w14:paraId="66CF6AF8" w14:textId="77777777" w:rsidR="000E51E3" w:rsidRPr="00DD1C16" w:rsidRDefault="000E51E3" w:rsidP="000E51E3">
                      <w:pPr>
                        <w:rPr>
                          <w:b/>
                          <w:color w:val="FFFFFF"/>
                          <w:sz w:val="18"/>
                        </w:rPr>
                      </w:pPr>
                    </w:p>
                  </w:txbxContent>
                </v:textbox>
              </v:rect>
            </w:pict>
          </mc:Fallback>
        </mc:AlternateContent>
      </w:r>
    </w:p>
    <w:p w14:paraId="24B0DA71" w14:textId="77777777" w:rsidR="000770C1" w:rsidRPr="005C1A32" w:rsidRDefault="000770C1" w:rsidP="0073487D">
      <w:pPr>
        <w:ind w:left="360"/>
        <w:jc w:val="both"/>
        <w:rPr>
          <w:rFonts w:asciiTheme="minorHAnsi" w:hAnsiTheme="minorHAnsi" w:cstheme="minorHAnsi"/>
          <w:sz w:val="10"/>
          <w:szCs w:val="10"/>
        </w:rPr>
      </w:pPr>
    </w:p>
    <w:p w14:paraId="2FB8D640" w14:textId="2CBDB664" w:rsidR="0004569F" w:rsidRPr="0073487D" w:rsidRDefault="0004569F" w:rsidP="00D6203B">
      <w:pPr>
        <w:jc w:val="both"/>
        <w:rPr>
          <w:rFonts w:asciiTheme="minorHAnsi" w:hAnsiTheme="minorHAnsi" w:cstheme="minorHAnsi"/>
        </w:rPr>
      </w:pPr>
      <w:r w:rsidRPr="0073487D">
        <w:rPr>
          <w:rFonts w:asciiTheme="minorHAnsi" w:hAnsiTheme="minorHAnsi" w:cstheme="minorHAnsi"/>
        </w:rPr>
        <w:t>Kredytobiorca</w:t>
      </w:r>
      <w:r w:rsidR="00700E7F" w:rsidRPr="0073487D">
        <w:rPr>
          <w:rFonts w:asciiTheme="minorHAnsi" w:hAnsiTheme="minorHAnsi" w:cstheme="minorHAnsi"/>
        </w:rPr>
        <w:t>, który</w:t>
      </w:r>
      <w:r w:rsidRPr="0073487D">
        <w:rPr>
          <w:rFonts w:asciiTheme="minorHAnsi" w:hAnsiTheme="minorHAnsi" w:cstheme="minorHAnsi"/>
        </w:rPr>
        <w:t xml:space="preserve"> zaciąga kredyt hipoteczny narażony jest na ponoszenie określonych ryzyk. Każdy kredyt hipoteczny </w:t>
      </w:r>
      <w:r w:rsidR="00700E7F" w:rsidRPr="0073487D">
        <w:rPr>
          <w:rFonts w:asciiTheme="minorHAnsi" w:hAnsiTheme="minorHAnsi" w:cstheme="minorHAnsi"/>
        </w:rPr>
        <w:t xml:space="preserve">jest </w:t>
      </w:r>
      <w:r w:rsidR="00B75B3A" w:rsidRPr="0073487D">
        <w:rPr>
          <w:rFonts w:asciiTheme="minorHAnsi" w:hAnsiTheme="minorHAnsi" w:cstheme="minorHAnsi"/>
        </w:rPr>
        <w:t xml:space="preserve">obciążony ryzykiem zmiany cen rynkowych nieruchomości, natomiast kredyt </w:t>
      </w:r>
      <w:r w:rsidRPr="0073487D">
        <w:rPr>
          <w:rFonts w:asciiTheme="minorHAnsi" w:hAnsiTheme="minorHAnsi" w:cstheme="minorHAnsi"/>
        </w:rPr>
        <w:t xml:space="preserve">o zmiennym oprocentowaniu jest </w:t>
      </w:r>
      <w:r w:rsidR="00B75B3A" w:rsidRPr="0073487D">
        <w:rPr>
          <w:rFonts w:asciiTheme="minorHAnsi" w:hAnsiTheme="minorHAnsi" w:cstheme="minorHAnsi"/>
        </w:rPr>
        <w:t xml:space="preserve">dodatkowo </w:t>
      </w:r>
      <w:r w:rsidRPr="0073487D">
        <w:rPr>
          <w:rFonts w:asciiTheme="minorHAnsi" w:hAnsiTheme="minorHAnsi" w:cstheme="minorHAnsi"/>
        </w:rPr>
        <w:t>obciążony ryzykiem stopy procentowej.</w:t>
      </w:r>
      <w:r w:rsidR="000E51E3" w:rsidRPr="0073487D">
        <w:rPr>
          <w:rFonts w:asciiTheme="minorHAnsi" w:hAnsiTheme="minorHAnsi" w:cstheme="minorHAnsi"/>
        </w:rPr>
        <w:t xml:space="preserve"> Poniższy materiał ma charakter informacyjny i nie może stanowić jedynej podstawy do podjęcia decyzji o wyborze oferty kredytowej.</w:t>
      </w:r>
    </w:p>
    <w:p w14:paraId="5EE7995B" w14:textId="77777777" w:rsidR="00075FA6" w:rsidRPr="005C1A32" w:rsidRDefault="00075FA6" w:rsidP="0073487D">
      <w:pPr>
        <w:pStyle w:val="Default"/>
        <w:ind w:left="425"/>
        <w:jc w:val="both"/>
        <w:rPr>
          <w:rFonts w:asciiTheme="minorHAnsi" w:hAnsiTheme="minorHAnsi" w:cstheme="minorHAnsi"/>
          <w:color w:val="auto"/>
          <w:sz w:val="10"/>
          <w:szCs w:val="10"/>
        </w:rPr>
      </w:pPr>
    </w:p>
    <w:p w14:paraId="75F30EE6" w14:textId="0BDA7AC1" w:rsidR="00C140C0" w:rsidRPr="0073487D" w:rsidRDefault="002F5F5F" w:rsidP="0073487D">
      <w:pPr>
        <w:ind w:left="425"/>
        <w:jc w:val="both"/>
        <w:rPr>
          <w:rFonts w:asciiTheme="minorHAnsi" w:hAnsiTheme="minorHAnsi" w:cstheme="minorHAnsi"/>
        </w:rPr>
      </w:pPr>
      <w:r w:rsidRPr="0073487D">
        <w:rPr>
          <w:rFonts w:asciiTheme="minorHAnsi" w:hAnsiTheme="minorHAnsi" w:cstheme="minorHAnsi"/>
          <w:b/>
          <w:noProof/>
        </w:rPr>
        <mc:AlternateContent>
          <mc:Choice Requires="wps">
            <w:drawing>
              <wp:anchor distT="0" distB="0" distL="114300" distR="114300" simplePos="0" relativeHeight="251655168" behindDoc="0" locked="0" layoutInCell="1" allowOverlap="1" wp14:anchorId="04084C77" wp14:editId="7E7FE754">
                <wp:simplePos x="0" y="0"/>
                <wp:positionH relativeFrom="column">
                  <wp:posOffset>14605</wp:posOffset>
                </wp:positionH>
                <wp:positionV relativeFrom="paragraph">
                  <wp:posOffset>21590</wp:posOffset>
                </wp:positionV>
                <wp:extent cx="6527800" cy="227965"/>
                <wp:effectExtent l="0" t="0" r="6350" b="635"/>
                <wp:wrapNone/>
                <wp:docPr id="14"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227965"/>
                        </a:xfrm>
                        <a:prstGeom prst="rect">
                          <a:avLst/>
                        </a:prstGeom>
                        <a:solidFill>
                          <a:srgbClr val="00926C"/>
                        </a:solidFill>
                        <a:ln w="9525">
                          <a:solidFill>
                            <a:srgbClr val="000000"/>
                          </a:solidFill>
                          <a:miter lim="800000"/>
                          <a:headEnd/>
                          <a:tailEnd/>
                        </a:ln>
                      </wps:spPr>
                      <wps:txbx>
                        <w:txbxContent>
                          <w:p w14:paraId="5DBDFBE2" w14:textId="77777777" w:rsidR="000E51E3" w:rsidRPr="00FE7EA3" w:rsidRDefault="00D63B4A" w:rsidP="000E51E3">
                            <w:pPr>
                              <w:rPr>
                                <w:rFonts w:asciiTheme="minorHAnsi" w:hAnsiTheme="minorHAnsi" w:cstheme="minorHAnsi"/>
                                <w:b/>
                                <w:color w:val="FFFFFF"/>
                                <w:sz w:val="18"/>
                              </w:rPr>
                            </w:pPr>
                            <w:r w:rsidRPr="00FE7EA3">
                              <w:rPr>
                                <w:rFonts w:asciiTheme="minorHAnsi" w:hAnsiTheme="minorHAnsi" w:cstheme="minorHAnsi"/>
                                <w:b/>
                                <w:color w:val="FFFFFF"/>
                                <w:sz w:val="18"/>
                              </w:rPr>
                              <w:t xml:space="preserve">CZY WSKAŹNIK </w:t>
                            </w:r>
                            <w:r w:rsidR="000E51E3" w:rsidRPr="00FE7EA3">
                              <w:rPr>
                                <w:rFonts w:asciiTheme="minorHAnsi" w:hAnsiTheme="minorHAnsi" w:cstheme="minorHAnsi"/>
                                <w:b/>
                                <w:color w:val="FFFFFF"/>
                                <w:sz w:val="18"/>
                              </w:rPr>
                              <w:t>REREFERENCYJN</w:t>
                            </w:r>
                            <w:r w:rsidRPr="00FE7EA3">
                              <w:rPr>
                                <w:rFonts w:asciiTheme="minorHAnsi" w:hAnsiTheme="minorHAnsi" w:cstheme="minorHAnsi"/>
                                <w:b/>
                                <w:color w:val="FFFFFF"/>
                                <w:sz w:val="18"/>
                              </w:rPr>
                              <w:t>Y MOŻE SIĘ ZMIENIĆ ?</w:t>
                            </w:r>
                          </w:p>
                          <w:p w14:paraId="5C750583" w14:textId="77777777" w:rsidR="000E51E3" w:rsidRPr="00DD1C16" w:rsidRDefault="000E51E3" w:rsidP="000E51E3">
                            <w:pPr>
                              <w:rPr>
                                <w:b/>
                                <w:color w:val="FFFFFF"/>
                                <w:sz w:val="18"/>
                              </w:rPr>
                            </w:pPr>
                          </w:p>
                          <w:p w14:paraId="10614876" w14:textId="77777777" w:rsidR="000E51E3" w:rsidRPr="00DD1C16" w:rsidRDefault="000E51E3" w:rsidP="000E51E3">
                            <w:pPr>
                              <w:rPr>
                                <w:b/>
                                <w:color w:val="FFFFFF"/>
                                <w:sz w:val="18"/>
                              </w:rPr>
                            </w:pPr>
                          </w:p>
                          <w:p w14:paraId="7F25907C" w14:textId="77777777" w:rsidR="000E51E3" w:rsidRPr="00DD1C16" w:rsidRDefault="000E51E3" w:rsidP="000E51E3">
                            <w:pPr>
                              <w:rPr>
                                <w:b/>
                                <w:color w:val="FFFFFF"/>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84C77" id="_x0000_s1027" style="position:absolute;left:0;text-align:left;margin-left:1.15pt;margin-top:1.7pt;width:514pt;height:1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" fillcolor="#00926c">
                <v:textbox inset=",0,,0">
                  <w:txbxContent>
                    <w:p w14:paraId="5DBDFBE2" w14:textId="77777777" w:rsidR="000E51E3" w:rsidRPr="00FE7EA3" w:rsidRDefault="00D63B4A" w:rsidP="000E51E3">
                      <w:pPr>
                        <w:rPr>
                          <w:rFonts w:asciiTheme="minorHAnsi" w:hAnsiTheme="minorHAnsi" w:cstheme="minorHAnsi"/>
                          <w:b/>
                          <w:color w:val="FFFFFF"/>
                          <w:sz w:val="18"/>
                        </w:rPr>
                      </w:pPr>
                      <w:r w:rsidRPr="00FE7EA3">
                        <w:rPr>
                          <w:rFonts w:asciiTheme="minorHAnsi" w:hAnsiTheme="minorHAnsi" w:cstheme="minorHAnsi"/>
                          <w:b/>
                          <w:color w:val="FFFFFF"/>
                          <w:sz w:val="18"/>
                        </w:rPr>
                        <w:t xml:space="preserve">CZY WSKAŹNIK </w:t>
                      </w:r>
                      <w:r w:rsidR="000E51E3" w:rsidRPr="00FE7EA3">
                        <w:rPr>
                          <w:rFonts w:asciiTheme="minorHAnsi" w:hAnsiTheme="minorHAnsi" w:cstheme="minorHAnsi"/>
                          <w:b/>
                          <w:color w:val="FFFFFF"/>
                          <w:sz w:val="18"/>
                        </w:rPr>
                        <w:t>REREFERENCYJN</w:t>
                      </w:r>
                      <w:r w:rsidRPr="00FE7EA3">
                        <w:rPr>
                          <w:rFonts w:asciiTheme="minorHAnsi" w:hAnsiTheme="minorHAnsi" w:cstheme="minorHAnsi"/>
                          <w:b/>
                          <w:color w:val="FFFFFF"/>
                          <w:sz w:val="18"/>
                        </w:rPr>
                        <w:t>Y MOŻE SIĘ ZMIENIĆ ?</w:t>
                      </w:r>
                    </w:p>
                    <w:p w14:paraId="5C750583" w14:textId="77777777" w:rsidR="000E51E3" w:rsidRPr="00DD1C16" w:rsidRDefault="000E51E3" w:rsidP="000E51E3">
                      <w:pPr>
                        <w:rPr>
                          <w:b/>
                          <w:color w:val="FFFFFF"/>
                          <w:sz w:val="18"/>
                        </w:rPr>
                      </w:pPr>
                    </w:p>
                    <w:p w14:paraId="10614876" w14:textId="77777777" w:rsidR="000E51E3" w:rsidRPr="00DD1C16" w:rsidRDefault="000E51E3" w:rsidP="000E51E3">
                      <w:pPr>
                        <w:rPr>
                          <w:b/>
                          <w:color w:val="FFFFFF"/>
                          <w:sz w:val="18"/>
                        </w:rPr>
                      </w:pPr>
                    </w:p>
                    <w:p w14:paraId="7F25907C" w14:textId="77777777" w:rsidR="000E51E3" w:rsidRPr="00DD1C16" w:rsidRDefault="000E51E3" w:rsidP="000E51E3">
                      <w:pPr>
                        <w:rPr>
                          <w:b/>
                          <w:color w:val="FFFFFF"/>
                          <w:sz w:val="18"/>
                        </w:rPr>
                      </w:pPr>
                    </w:p>
                  </w:txbxContent>
                </v:textbox>
              </v:rect>
            </w:pict>
          </mc:Fallback>
        </mc:AlternateContent>
      </w:r>
    </w:p>
    <w:p w14:paraId="088F7B67" w14:textId="77777777" w:rsidR="00A97E0C" w:rsidRPr="0073487D" w:rsidRDefault="00A97E0C" w:rsidP="0073487D">
      <w:pPr>
        <w:ind w:left="425"/>
        <w:jc w:val="both"/>
        <w:rPr>
          <w:rFonts w:asciiTheme="minorHAnsi" w:hAnsiTheme="minorHAnsi" w:cstheme="minorHAnsi"/>
          <w:b/>
        </w:rPr>
      </w:pPr>
    </w:p>
    <w:p w14:paraId="037DDCFD" w14:textId="77777777" w:rsidR="000770C1" w:rsidRPr="005C1A32" w:rsidRDefault="000770C1" w:rsidP="0073487D">
      <w:pPr>
        <w:ind w:left="425"/>
        <w:jc w:val="both"/>
        <w:rPr>
          <w:rFonts w:asciiTheme="minorHAnsi" w:hAnsiTheme="minorHAnsi" w:cstheme="minorHAnsi"/>
          <w:b/>
          <w:sz w:val="10"/>
          <w:szCs w:val="10"/>
        </w:rPr>
      </w:pPr>
      <w:bookmarkStart w:id="0" w:name="_Hlk128138512"/>
    </w:p>
    <w:p w14:paraId="0E937CBA" w14:textId="77777777" w:rsidR="002A5D59" w:rsidRPr="00D6203B" w:rsidRDefault="002A5D59" w:rsidP="00D6203B">
      <w:pPr>
        <w:jc w:val="both"/>
        <w:rPr>
          <w:rFonts w:asciiTheme="minorHAnsi" w:hAnsiTheme="minorHAnsi" w:cstheme="minorHAnsi"/>
          <w:b/>
          <w:bCs/>
        </w:rPr>
      </w:pPr>
      <w:r w:rsidRPr="00D6203B">
        <w:rPr>
          <w:rFonts w:asciiTheme="minorHAnsi" w:hAnsiTheme="minorHAnsi" w:cstheme="minorHAnsi"/>
          <w:b/>
          <w:bCs/>
        </w:rPr>
        <w:t xml:space="preserve">Ryzyko zmiany przez GPW Benchmark S.A. metody opracowywania </w:t>
      </w:r>
      <w:r w:rsidR="000770C1" w:rsidRPr="00D6203B">
        <w:rPr>
          <w:rFonts w:asciiTheme="minorHAnsi" w:hAnsiTheme="minorHAnsi" w:cstheme="minorHAnsi"/>
          <w:b/>
          <w:bCs/>
        </w:rPr>
        <w:t>wskaźnika referencyjnego</w:t>
      </w:r>
    </w:p>
    <w:bookmarkEnd w:id="0"/>
    <w:p w14:paraId="4B24A27E" w14:textId="77777777" w:rsidR="00830DF8" w:rsidRPr="005C1A32" w:rsidRDefault="00830DF8" w:rsidP="00D6203B">
      <w:pPr>
        <w:jc w:val="both"/>
        <w:rPr>
          <w:rFonts w:asciiTheme="minorHAnsi" w:hAnsiTheme="minorHAnsi" w:cstheme="minorHAnsi"/>
          <w:sz w:val="10"/>
          <w:szCs w:val="10"/>
        </w:rPr>
      </w:pPr>
    </w:p>
    <w:p w14:paraId="1D8EAFDA" w14:textId="77777777" w:rsidR="00C63D02" w:rsidRPr="0073487D" w:rsidRDefault="00C63D02" w:rsidP="00D6203B">
      <w:pPr>
        <w:jc w:val="both"/>
        <w:rPr>
          <w:rFonts w:asciiTheme="minorHAnsi" w:hAnsiTheme="minorHAnsi" w:cstheme="minorHAnsi"/>
        </w:rPr>
      </w:pPr>
      <w:r w:rsidRPr="0073487D">
        <w:rPr>
          <w:rFonts w:asciiTheme="minorHAnsi" w:hAnsiTheme="minorHAnsi" w:cstheme="minorHAnsi"/>
        </w:rPr>
        <w:t>Wartość wskaźnika referencyjnego zmienia się w zależności od przyjętej przez administratora wskaźnika metodologii jego opracowywania. Metodologię opracowywania wskaźnika referencyjnego wyznacza administrator wskaźnika referencyjnego w oparciu o przepisy Rozporządzenia BMR. Administrator wskaźnika referencyjnego jest podmiotem od nas niezależnym i działa na podstawie specjalnego zezwolenia. Zadaniem administratora wskaźnika jest opracowywanie wskaźnika referencyjnego, wyznaczanie metodologii jego opracowywania, oraz jego publikacja.</w:t>
      </w:r>
    </w:p>
    <w:p w14:paraId="2A39B20E" w14:textId="77777777" w:rsidR="00C63D02" w:rsidRPr="005C1A32" w:rsidRDefault="00C63D02" w:rsidP="00D6203B">
      <w:pPr>
        <w:jc w:val="both"/>
        <w:rPr>
          <w:rFonts w:asciiTheme="minorHAnsi" w:hAnsiTheme="minorHAnsi" w:cstheme="minorHAnsi"/>
          <w:sz w:val="10"/>
          <w:szCs w:val="10"/>
        </w:rPr>
      </w:pPr>
    </w:p>
    <w:p w14:paraId="34FC04E0" w14:textId="77777777" w:rsidR="00C63D02" w:rsidRPr="0073487D" w:rsidRDefault="00C63D02" w:rsidP="00D6203B">
      <w:pPr>
        <w:jc w:val="both"/>
        <w:rPr>
          <w:rFonts w:asciiTheme="minorHAnsi" w:hAnsiTheme="minorHAnsi" w:cstheme="minorHAnsi"/>
        </w:rPr>
      </w:pPr>
      <w:r w:rsidRPr="0073487D">
        <w:rPr>
          <w:rFonts w:asciiTheme="minorHAnsi" w:hAnsiTheme="minorHAnsi" w:cstheme="minorHAnsi"/>
        </w:rPr>
        <w:t xml:space="preserve">Administrator wskaźnika może zmienić metodę opracowywania wskaźnika referencyjnego. Metodologia ta jest opublikowana na stronie internetowej administratora. </w:t>
      </w:r>
    </w:p>
    <w:p w14:paraId="0129065F" w14:textId="77777777" w:rsidR="00C63D02" w:rsidRPr="0073487D" w:rsidRDefault="00C63D02" w:rsidP="00D6203B">
      <w:pPr>
        <w:jc w:val="both"/>
        <w:rPr>
          <w:rFonts w:asciiTheme="minorHAnsi" w:hAnsiTheme="minorHAnsi" w:cstheme="minorHAnsi"/>
        </w:rPr>
      </w:pPr>
    </w:p>
    <w:p w14:paraId="28C0202A" w14:textId="48ACBBED" w:rsidR="002A5D59" w:rsidRPr="00D6203B" w:rsidRDefault="002A5D59" w:rsidP="00D6203B">
      <w:pPr>
        <w:jc w:val="both"/>
        <w:rPr>
          <w:rFonts w:asciiTheme="minorHAnsi" w:hAnsiTheme="minorHAnsi" w:cstheme="minorHAnsi"/>
          <w:b/>
          <w:bCs/>
        </w:rPr>
      </w:pPr>
      <w:r w:rsidRPr="00D6203B">
        <w:rPr>
          <w:rFonts w:asciiTheme="minorHAnsi" w:hAnsiTheme="minorHAnsi" w:cstheme="minorHAnsi"/>
          <w:b/>
          <w:bCs/>
        </w:rPr>
        <w:t xml:space="preserve">Ryzyko zaprzestania przez </w:t>
      </w:r>
      <w:bookmarkStart w:id="1" w:name="_Hlk47625656"/>
      <w:r w:rsidRPr="00D6203B">
        <w:rPr>
          <w:rFonts w:asciiTheme="minorHAnsi" w:hAnsiTheme="minorHAnsi" w:cstheme="minorHAnsi"/>
          <w:b/>
          <w:bCs/>
        </w:rPr>
        <w:t xml:space="preserve">GPW Benchmark S.A. </w:t>
      </w:r>
      <w:bookmarkEnd w:id="1"/>
      <w:r w:rsidRPr="00D6203B">
        <w:rPr>
          <w:rFonts w:asciiTheme="minorHAnsi" w:hAnsiTheme="minorHAnsi" w:cstheme="minorHAnsi"/>
          <w:b/>
          <w:bCs/>
        </w:rPr>
        <w:t>opracowywania wskaźnika referencyjnego w sposób trwały lub czasowy</w:t>
      </w:r>
      <w:r w:rsidR="00A07001" w:rsidRPr="00D6203B">
        <w:rPr>
          <w:rFonts w:asciiTheme="minorHAnsi" w:hAnsiTheme="minorHAnsi" w:cstheme="minorHAnsi"/>
          <w:b/>
          <w:bCs/>
        </w:rPr>
        <w:t xml:space="preserve"> </w:t>
      </w:r>
      <w:r w:rsidR="008A0E7D" w:rsidRPr="00D6203B">
        <w:rPr>
          <w:rFonts w:asciiTheme="minorHAnsi" w:hAnsiTheme="minorHAnsi" w:cstheme="minorHAnsi"/>
          <w:b/>
          <w:bCs/>
        </w:rPr>
        <w:t xml:space="preserve"> </w:t>
      </w:r>
    </w:p>
    <w:p w14:paraId="3FD6FFEE" w14:textId="6F126EE1" w:rsidR="008A0E7D" w:rsidRPr="005C1A32" w:rsidRDefault="008A0E7D" w:rsidP="00D6203B">
      <w:pPr>
        <w:jc w:val="both"/>
        <w:rPr>
          <w:rFonts w:asciiTheme="minorHAnsi" w:hAnsiTheme="minorHAnsi" w:cstheme="minorHAnsi"/>
          <w:sz w:val="10"/>
          <w:szCs w:val="10"/>
        </w:rPr>
      </w:pPr>
    </w:p>
    <w:p w14:paraId="49C5ED8B" w14:textId="77777777" w:rsidR="00C63D02" w:rsidRPr="0073487D" w:rsidRDefault="00C63D02" w:rsidP="00D6203B">
      <w:pPr>
        <w:jc w:val="both"/>
        <w:rPr>
          <w:rFonts w:asciiTheme="minorHAnsi" w:hAnsiTheme="minorHAnsi" w:cstheme="minorHAnsi"/>
        </w:rPr>
      </w:pPr>
      <w:r w:rsidRPr="0073487D">
        <w:rPr>
          <w:rFonts w:asciiTheme="minorHAnsi" w:hAnsiTheme="minorHAnsi" w:cstheme="minorHAnsi"/>
        </w:rPr>
        <w:t>Administrator wskaźnika może też zaprzestać opracowywania wskaźnika referencyjnego w sposób trwały lub czasowy w trybie, który jest określonym w dokumentacji wskaźnika referencyjnego.</w:t>
      </w:r>
    </w:p>
    <w:p w14:paraId="19418B6F" w14:textId="77777777" w:rsidR="00C63D02" w:rsidRPr="005C1A32" w:rsidRDefault="00C63D02" w:rsidP="00D6203B">
      <w:pPr>
        <w:jc w:val="both"/>
        <w:rPr>
          <w:rFonts w:asciiTheme="minorHAnsi" w:hAnsiTheme="minorHAnsi" w:cstheme="minorHAnsi"/>
          <w:sz w:val="10"/>
          <w:szCs w:val="10"/>
        </w:rPr>
      </w:pPr>
    </w:p>
    <w:p w14:paraId="4936CB75" w14:textId="5B4C4D62" w:rsidR="00C63D02" w:rsidRPr="0073487D" w:rsidRDefault="00C63D02" w:rsidP="00D6203B">
      <w:pPr>
        <w:jc w:val="both"/>
        <w:rPr>
          <w:rFonts w:asciiTheme="minorHAnsi" w:hAnsiTheme="minorHAnsi" w:cstheme="minorHAnsi"/>
        </w:rPr>
      </w:pPr>
      <w:r w:rsidRPr="0073487D">
        <w:rPr>
          <w:rFonts w:asciiTheme="minorHAnsi" w:hAnsiTheme="minorHAnsi" w:cstheme="minorHAnsi"/>
        </w:rPr>
        <w:t>Na wypadek wystąpienia tego typu zdarzeń, Rozporządzenie BMR nałożyło na banki obowiązek opracowania planu awaryjnego. Plan awaryjny określa sposób postępowania banku w sytuacji, gdy nastąpi istotna zmiana wskaźnika referencyjnego, z którego Bank korzysta, albo zaprzestania opracowywania wskaźnika referencyjnego.</w:t>
      </w:r>
    </w:p>
    <w:p w14:paraId="3134985D" w14:textId="77777777" w:rsidR="00C63D02" w:rsidRPr="005C1A32" w:rsidRDefault="00C63D02" w:rsidP="00D6203B">
      <w:pPr>
        <w:jc w:val="both"/>
        <w:rPr>
          <w:rFonts w:asciiTheme="minorHAnsi" w:hAnsiTheme="minorHAnsi" w:cstheme="minorHAnsi"/>
          <w:sz w:val="10"/>
          <w:szCs w:val="10"/>
        </w:rPr>
      </w:pPr>
    </w:p>
    <w:p w14:paraId="3C1E8A1B" w14:textId="77777777" w:rsidR="00DE4CD1" w:rsidRPr="0073487D" w:rsidRDefault="00DE4CD1" w:rsidP="00D6203B">
      <w:pPr>
        <w:spacing w:before="120" w:line="24" w:lineRule="atLeast"/>
        <w:jc w:val="both"/>
        <w:rPr>
          <w:rFonts w:asciiTheme="minorHAnsi" w:hAnsiTheme="minorHAnsi" w:cstheme="minorHAnsi"/>
        </w:rPr>
      </w:pPr>
      <w:r w:rsidRPr="0073487D">
        <w:rPr>
          <w:rFonts w:asciiTheme="minorHAnsi" w:hAnsiTheme="minorHAnsi" w:cstheme="minorHAnsi"/>
        </w:rPr>
        <w:t xml:space="preserve">W przypadku, gdy wystąpi istotna zmiana wskaźnika referencyjnego lub zostanie wskazany wskaźnik alternatywny dla wskaźnika, którego opracowywanie został zaprzestane, poinformujemy Państwa o tym zdarzeniu w sposób określony w umowie. Jeżeli w przyszłości nie będziemy mogli dalej stosować wskaźnika referencyjnego, który wskazaliśmy w umowie (np. nie będzie już publikowany przez administratora), wówczas zastąpimy WIBOR nowym wskaźnikiem referencyjnym, zgodnie z umową kredytu. </w:t>
      </w:r>
    </w:p>
    <w:p w14:paraId="6CB1FD1C" w14:textId="3BB81199" w:rsidR="002A5D59" w:rsidRPr="0073487D" w:rsidRDefault="002F5F5F" w:rsidP="0073487D">
      <w:pPr>
        <w:ind w:left="425"/>
        <w:jc w:val="both"/>
        <w:rPr>
          <w:rFonts w:asciiTheme="minorHAnsi" w:hAnsiTheme="minorHAnsi" w:cstheme="minorHAnsi"/>
        </w:rPr>
      </w:pPr>
      <w:r w:rsidRPr="0073487D">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4D6A327E" wp14:editId="3E1EB950">
                <wp:simplePos x="0" y="0"/>
                <wp:positionH relativeFrom="column">
                  <wp:posOffset>14605</wp:posOffset>
                </wp:positionH>
                <wp:positionV relativeFrom="paragraph">
                  <wp:posOffset>121920</wp:posOffset>
                </wp:positionV>
                <wp:extent cx="6527800" cy="199390"/>
                <wp:effectExtent l="0" t="0" r="6350" b="0"/>
                <wp:wrapNone/>
                <wp:docPr id="13"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199390"/>
                        </a:xfrm>
                        <a:prstGeom prst="rect">
                          <a:avLst/>
                        </a:prstGeom>
                        <a:solidFill>
                          <a:srgbClr val="00926C"/>
                        </a:solidFill>
                        <a:ln w="9525">
                          <a:solidFill>
                            <a:srgbClr val="000000"/>
                          </a:solidFill>
                          <a:miter lim="800000"/>
                          <a:headEnd/>
                          <a:tailEnd/>
                        </a:ln>
                      </wps:spPr>
                      <wps:txbx>
                        <w:txbxContent>
                          <w:p w14:paraId="23A70F01" w14:textId="77777777" w:rsidR="000E51E3" w:rsidRPr="00FE7EA3" w:rsidRDefault="00D63B4A" w:rsidP="000E51E3">
                            <w:pPr>
                              <w:rPr>
                                <w:rFonts w:asciiTheme="minorHAnsi" w:hAnsiTheme="minorHAnsi" w:cstheme="minorHAnsi"/>
                                <w:b/>
                                <w:color w:val="FFFFFF"/>
                                <w:sz w:val="18"/>
                              </w:rPr>
                            </w:pPr>
                            <w:r w:rsidRPr="00FE7EA3">
                              <w:rPr>
                                <w:rFonts w:asciiTheme="minorHAnsi" w:hAnsiTheme="minorHAnsi" w:cstheme="minorHAnsi"/>
                                <w:b/>
                                <w:color w:val="FFFFFF"/>
                                <w:sz w:val="18"/>
                              </w:rPr>
                              <w:t>NA CZYM POLEGA RYZYKO STOPY PROCENTOWEJ ?</w:t>
                            </w:r>
                          </w:p>
                          <w:p w14:paraId="5AF75FF2" w14:textId="77777777" w:rsidR="000E51E3" w:rsidRPr="00DD1C16" w:rsidRDefault="000E51E3" w:rsidP="000E51E3">
                            <w:pPr>
                              <w:rPr>
                                <w:b/>
                                <w:color w:val="FFFFFF"/>
                                <w:sz w:val="18"/>
                              </w:rPr>
                            </w:pPr>
                          </w:p>
                          <w:p w14:paraId="5F28A4CC" w14:textId="77777777" w:rsidR="000E51E3" w:rsidRPr="00DD1C16" w:rsidRDefault="000E51E3" w:rsidP="000E51E3">
                            <w:pPr>
                              <w:rPr>
                                <w:b/>
                                <w:color w:val="FFFFFF"/>
                                <w:sz w:val="18"/>
                              </w:rPr>
                            </w:pPr>
                          </w:p>
                          <w:p w14:paraId="354716CD" w14:textId="77777777" w:rsidR="000E51E3" w:rsidRPr="00DD1C16" w:rsidRDefault="000E51E3" w:rsidP="000E51E3">
                            <w:pPr>
                              <w:rPr>
                                <w:b/>
                                <w:color w:val="FFFFFF"/>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327E" id="_x0000_s1028" style="position:absolute;left:0;text-align:left;margin-left:1.15pt;margin-top:9.6pt;width:514pt;height:1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" fillcolor="#00926c">
                <v:textbox inset=",0,,0">
                  <w:txbxContent>
                    <w:p w14:paraId="23A70F01" w14:textId="77777777" w:rsidR="000E51E3" w:rsidRPr="00FE7EA3" w:rsidRDefault="00D63B4A" w:rsidP="000E51E3">
                      <w:pPr>
                        <w:rPr>
                          <w:rFonts w:asciiTheme="minorHAnsi" w:hAnsiTheme="minorHAnsi" w:cstheme="minorHAnsi"/>
                          <w:b/>
                          <w:color w:val="FFFFFF"/>
                          <w:sz w:val="18"/>
                        </w:rPr>
                      </w:pPr>
                      <w:r w:rsidRPr="00FE7EA3">
                        <w:rPr>
                          <w:rFonts w:asciiTheme="minorHAnsi" w:hAnsiTheme="minorHAnsi" w:cstheme="minorHAnsi"/>
                          <w:b/>
                          <w:color w:val="FFFFFF"/>
                          <w:sz w:val="18"/>
                        </w:rPr>
                        <w:t>NA CZYM POLEGA RYZYKO STOPY PROCENTOWEJ ?</w:t>
                      </w:r>
                    </w:p>
                    <w:p w14:paraId="5AF75FF2" w14:textId="77777777" w:rsidR="000E51E3" w:rsidRPr="00DD1C16" w:rsidRDefault="000E51E3" w:rsidP="000E51E3">
                      <w:pPr>
                        <w:rPr>
                          <w:b/>
                          <w:color w:val="FFFFFF"/>
                          <w:sz w:val="18"/>
                        </w:rPr>
                      </w:pPr>
                    </w:p>
                    <w:p w14:paraId="5F28A4CC" w14:textId="77777777" w:rsidR="000E51E3" w:rsidRPr="00DD1C16" w:rsidRDefault="000E51E3" w:rsidP="000E51E3">
                      <w:pPr>
                        <w:rPr>
                          <w:b/>
                          <w:color w:val="FFFFFF"/>
                          <w:sz w:val="18"/>
                        </w:rPr>
                      </w:pPr>
                    </w:p>
                    <w:p w14:paraId="354716CD" w14:textId="77777777" w:rsidR="000E51E3" w:rsidRPr="00DD1C16" w:rsidRDefault="000E51E3" w:rsidP="000E51E3">
                      <w:pPr>
                        <w:rPr>
                          <w:b/>
                          <w:color w:val="FFFFFF"/>
                          <w:sz w:val="18"/>
                        </w:rPr>
                      </w:pPr>
                    </w:p>
                  </w:txbxContent>
                </v:textbox>
              </v:rect>
            </w:pict>
          </mc:Fallback>
        </mc:AlternateContent>
      </w:r>
    </w:p>
    <w:p w14:paraId="03480978" w14:textId="77777777" w:rsidR="000E51E3" w:rsidRPr="0073487D" w:rsidRDefault="000E51E3" w:rsidP="0073487D">
      <w:pPr>
        <w:ind w:left="425"/>
        <w:jc w:val="both"/>
        <w:rPr>
          <w:rFonts w:asciiTheme="minorHAnsi" w:hAnsiTheme="minorHAnsi" w:cstheme="minorHAnsi"/>
        </w:rPr>
      </w:pPr>
    </w:p>
    <w:p w14:paraId="7DA00274" w14:textId="77777777" w:rsidR="000E51E3" w:rsidRPr="0073487D" w:rsidRDefault="000E51E3" w:rsidP="0073487D">
      <w:pPr>
        <w:ind w:left="425"/>
        <w:jc w:val="both"/>
        <w:rPr>
          <w:rFonts w:asciiTheme="minorHAnsi" w:hAnsiTheme="minorHAnsi" w:cstheme="minorHAnsi"/>
        </w:rPr>
      </w:pPr>
    </w:p>
    <w:p w14:paraId="7E8B0F61" w14:textId="453B7207" w:rsidR="00310CDF" w:rsidRPr="0073487D" w:rsidRDefault="0072062E" w:rsidP="00D6203B">
      <w:pPr>
        <w:autoSpaceDE w:val="0"/>
        <w:autoSpaceDN w:val="0"/>
        <w:adjustRightInd w:val="0"/>
        <w:jc w:val="both"/>
        <w:rPr>
          <w:rFonts w:asciiTheme="minorHAnsi" w:hAnsiTheme="minorHAnsi" w:cstheme="minorHAnsi"/>
        </w:rPr>
      </w:pPr>
      <w:r w:rsidRPr="0073487D">
        <w:rPr>
          <w:rFonts w:asciiTheme="minorHAnsi" w:hAnsiTheme="minorHAnsi" w:cstheme="minorHAnsi"/>
        </w:rPr>
        <w:t>K</w:t>
      </w:r>
      <w:r w:rsidR="00757F4A" w:rsidRPr="0073487D">
        <w:rPr>
          <w:rFonts w:asciiTheme="minorHAnsi" w:hAnsiTheme="minorHAnsi" w:cstheme="minorHAnsi"/>
        </w:rPr>
        <w:t>redyt hipoteczny oprocentowany jest według zmiennej stopy procentowej</w:t>
      </w:r>
      <w:r w:rsidR="00D6203B">
        <w:rPr>
          <w:rFonts w:asciiTheme="minorHAnsi" w:hAnsiTheme="minorHAnsi" w:cstheme="minorHAnsi"/>
        </w:rPr>
        <w:t xml:space="preserve"> </w:t>
      </w:r>
      <w:r w:rsidRPr="0073487D">
        <w:rPr>
          <w:rFonts w:asciiTheme="minorHAnsi" w:hAnsiTheme="minorHAnsi" w:cstheme="minorHAnsi"/>
        </w:rPr>
        <w:t>lub według okresowo – stałej stopy procentowej – zgodnie z Państwa wyborem</w:t>
      </w:r>
      <w:r w:rsidR="00577552" w:rsidRPr="0073487D">
        <w:rPr>
          <w:rFonts w:asciiTheme="minorHAnsi" w:hAnsiTheme="minorHAnsi" w:cstheme="minorHAnsi"/>
        </w:rPr>
        <w:t>.</w:t>
      </w:r>
      <w:r w:rsidRPr="0073487D">
        <w:rPr>
          <w:rFonts w:asciiTheme="minorHAnsi" w:hAnsiTheme="minorHAnsi" w:cstheme="minorHAnsi"/>
        </w:rPr>
        <w:t xml:space="preserve"> </w:t>
      </w:r>
    </w:p>
    <w:p w14:paraId="37D9FB18" w14:textId="77777777" w:rsidR="0072062E" w:rsidRPr="005C1A32" w:rsidRDefault="0072062E" w:rsidP="00D6203B">
      <w:pPr>
        <w:autoSpaceDE w:val="0"/>
        <w:autoSpaceDN w:val="0"/>
        <w:adjustRightInd w:val="0"/>
        <w:jc w:val="both"/>
        <w:rPr>
          <w:rFonts w:asciiTheme="minorHAnsi" w:hAnsiTheme="minorHAnsi" w:cstheme="minorHAnsi"/>
          <w:sz w:val="10"/>
          <w:szCs w:val="10"/>
        </w:rPr>
      </w:pPr>
    </w:p>
    <w:p w14:paraId="40828F20" w14:textId="1492478B" w:rsidR="0072062E" w:rsidRPr="00D6203B" w:rsidRDefault="0072062E" w:rsidP="00D6203B">
      <w:pPr>
        <w:autoSpaceDE w:val="0"/>
        <w:autoSpaceDN w:val="0"/>
        <w:adjustRightInd w:val="0"/>
        <w:jc w:val="both"/>
        <w:rPr>
          <w:rFonts w:asciiTheme="minorHAnsi" w:hAnsiTheme="minorHAnsi" w:cstheme="minorHAnsi"/>
          <w:b/>
          <w:bCs/>
        </w:rPr>
      </w:pPr>
      <w:r w:rsidRPr="00D6203B">
        <w:rPr>
          <w:rFonts w:asciiTheme="minorHAnsi" w:hAnsiTheme="minorHAnsi" w:cstheme="minorHAnsi"/>
          <w:b/>
          <w:bCs/>
        </w:rPr>
        <w:t>Zmienna stopa procentowa w całym okresie kredytowania</w:t>
      </w:r>
    </w:p>
    <w:p w14:paraId="6BB99C6F" w14:textId="77777777" w:rsidR="00310CDF" w:rsidRPr="005C1A32" w:rsidRDefault="00310CDF" w:rsidP="00D6203B">
      <w:pPr>
        <w:autoSpaceDE w:val="0"/>
        <w:autoSpaceDN w:val="0"/>
        <w:adjustRightInd w:val="0"/>
        <w:jc w:val="both"/>
        <w:rPr>
          <w:rFonts w:asciiTheme="minorHAnsi" w:hAnsiTheme="minorHAnsi" w:cstheme="minorHAnsi"/>
          <w:b/>
          <w:sz w:val="10"/>
          <w:szCs w:val="10"/>
        </w:rPr>
      </w:pPr>
    </w:p>
    <w:p w14:paraId="4AB3380C" w14:textId="77777777" w:rsidR="00373BEA" w:rsidRPr="0073487D" w:rsidRDefault="00373BEA" w:rsidP="00D6203B">
      <w:pPr>
        <w:autoSpaceDE w:val="0"/>
        <w:autoSpaceDN w:val="0"/>
        <w:adjustRightInd w:val="0"/>
        <w:jc w:val="both"/>
        <w:rPr>
          <w:rFonts w:asciiTheme="minorHAnsi" w:hAnsiTheme="minorHAnsi" w:cstheme="minorHAnsi"/>
        </w:rPr>
      </w:pPr>
      <w:r w:rsidRPr="0073487D">
        <w:rPr>
          <w:rFonts w:asciiTheme="minorHAnsi" w:hAnsiTheme="minorHAnsi" w:cstheme="minorHAnsi"/>
        </w:rPr>
        <w:t xml:space="preserve">Stopa procentowa kredytu jest sumą marży oraz wskaźnika referencyjnego. Stopa oprocentowania zmienia się </w:t>
      </w:r>
      <w:r w:rsidR="009A504C" w:rsidRPr="0073487D">
        <w:rPr>
          <w:rFonts w:asciiTheme="minorHAnsi" w:hAnsiTheme="minorHAnsi" w:cstheme="minorHAnsi"/>
        </w:rPr>
        <w:br/>
      </w:r>
      <w:r w:rsidRPr="0073487D">
        <w:rPr>
          <w:rFonts w:asciiTheme="minorHAnsi" w:hAnsiTheme="minorHAnsi" w:cstheme="minorHAnsi"/>
        </w:rPr>
        <w:t>w zależności od zmiany wskaźnika referencyjnego</w:t>
      </w:r>
      <w:r w:rsidR="00827986" w:rsidRPr="0073487D">
        <w:rPr>
          <w:rFonts w:asciiTheme="minorHAnsi" w:hAnsiTheme="minorHAnsi" w:cstheme="minorHAnsi"/>
        </w:rPr>
        <w:t>.</w:t>
      </w:r>
      <w:r w:rsidRPr="0073487D">
        <w:rPr>
          <w:rFonts w:asciiTheme="minorHAnsi" w:hAnsiTheme="minorHAnsi" w:cstheme="minorHAnsi"/>
        </w:rPr>
        <w:t xml:space="preserve"> Rata kredytu składa się z dwóch części – kapitałowej </w:t>
      </w:r>
      <w:r w:rsidR="009A504C" w:rsidRPr="0073487D">
        <w:rPr>
          <w:rFonts w:asciiTheme="minorHAnsi" w:hAnsiTheme="minorHAnsi" w:cstheme="minorHAnsi"/>
        </w:rPr>
        <w:br/>
      </w:r>
      <w:r w:rsidRPr="0073487D">
        <w:rPr>
          <w:rFonts w:asciiTheme="minorHAnsi" w:hAnsiTheme="minorHAnsi" w:cstheme="minorHAnsi"/>
        </w:rPr>
        <w:t>i odsetkowej. W przypadku kredytów oprocentowanych według zmiennej stopy procentowej odsetkowa cześć raty kredytu może ulegać zmianom w zależności od aktualnej wysokości wskaźnika referencyjnego. Oznacza to, że zmienne oprocentowanie kredytu niesie ze sobą ryzyko zmiany kosztów obsługi kredytu (wzrost lub spadek) w czasie obowiązywania umowy, zatem przed podjęciem decyzji o zaciągnięciu kredytu Kredytobiorca powinien wziąć pod uwagę długoterminowy trend na rynku finansowym oraz uwzględnić możliwość zmiany stóp procentowych.</w:t>
      </w:r>
    </w:p>
    <w:p w14:paraId="587A0996" w14:textId="77777777" w:rsidR="00373BEA" w:rsidRPr="0073487D" w:rsidRDefault="00373BEA" w:rsidP="00D6203B">
      <w:pPr>
        <w:autoSpaceDE w:val="0"/>
        <w:autoSpaceDN w:val="0"/>
        <w:adjustRightInd w:val="0"/>
        <w:jc w:val="both"/>
        <w:rPr>
          <w:rFonts w:asciiTheme="minorHAnsi" w:hAnsiTheme="minorHAnsi" w:cstheme="minorHAnsi"/>
        </w:rPr>
      </w:pPr>
    </w:p>
    <w:p w14:paraId="5CCEA88A" w14:textId="77777777" w:rsidR="00373BEA" w:rsidRPr="0073487D" w:rsidRDefault="00373BEA" w:rsidP="00D6203B">
      <w:pPr>
        <w:autoSpaceDE w:val="0"/>
        <w:autoSpaceDN w:val="0"/>
        <w:adjustRightInd w:val="0"/>
        <w:jc w:val="both"/>
        <w:rPr>
          <w:rFonts w:asciiTheme="minorHAnsi" w:hAnsiTheme="minorHAnsi" w:cstheme="minorHAnsi"/>
        </w:rPr>
      </w:pPr>
      <w:r w:rsidRPr="0073487D">
        <w:rPr>
          <w:rFonts w:asciiTheme="minorHAnsi" w:hAnsiTheme="minorHAnsi" w:cstheme="minorHAnsi"/>
        </w:rPr>
        <w:t>Każda zmiana stopy procentowej wpływa na wysokość (wzrost lub spadek) kosztów obsługi kredytu. Wzrost stopy procentowej powoduje, że wzrasta wysokość odsetek przewidzianych do spłaty, a tym samym wysokość kwoty zadłużenia</w:t>
      </w:r>
    </w:p>
    <w:p w14:paraId="0ECE6486" w14:textId="77777777" w:rsidR="005C1A32" w:rsidRDefault="005C1A32" w:rsidP="00D6203B">
      <w:pPr>
        <w:autoSpaceDE w:val="0"/>
        <w:autoSpaceDN w:val="0"/>
        <w:adjustRightInd w:val="0"/>
        <w:jc w:val="both"/>
        <w:rPr>
          <w:rFonts w:asciiTheme="minorHAnsi" w:hAnsiTheme="minorHAnsi" w:cstheme="minorHAnsi"/>
        </w:rPr>
      </w:pPr>
    </w:p>
    <w:p w14:paraId="3C7FA96B" w14:textId="0C395714" w:rsidR="00644ED1" w:rsidRPr="0073487D" w:rsidRDefault="00310CDF" w:rsidP="00D6203B">
      <w:pPr>
        <w:autoSpaceDE w:val="0"/>
        <w:autoSpaceDN w:val="0"/>
        <w:adjustRightInd w:val="0"/>
        <w:jc w:val="both"/>
        <w:rPr>
          <w:rFonts w:asciiTheme="minorHAnsi" w:hAnsiTheme="minorHAnsi" w:cstheme="minorHAnsi"/>
        </w:rPr>
      </w:pPr>
      <w:r w:rsidRPr="0073487D">
        <w:rPr>
          <w:rFonts w:asciiTheme="minorHAnsi" w:hAnsiTheme="minorHAnsi" w:cstheme="minorHAnsi"/>
        </w:rPr>
        <w:t xml:space="preserve">Oprocentowanie kredytu stanowi sumę </w:t>
      </w:r>
      <w:r w:rsidR="008D53A3" w:rsidRPr="0073487D">
        <w:rPr>
          <w:rFonts w:asciiTheme="minorHAnsi" w:hAnsiTheme="minorHAnsi" w:cstheme="minorHAnsi"/>
        </w:rPr>
        <w:t>wskaźnika referencyjnego</w:t>
      </w:r>
      <w:r w:rsidRPr="0073487D">
        <w:rPr>
          <w:rFonts w:asciiTheme="minorHAnsi" w:hAnsiTheme="minorHAnsi" w:cstheme="minorHAnsi"/>
        </w:rPr>
        <w:t xml:space="preserve"> i marży, z zastrzeżeniem, że w przypadku, gdy dla danego okresu odsetkowego </w:t>
      </w:r>
      <w:r w:rsidR="008D53A3" w:rsidRPr="0073487D">
        <w:rPr>
          <w:rFonts w:asciiTheme="minorHAnsi" w:hAnsiTheme="minorHAnsi" w:cstheme="minorHAnsi"/>
        </w:rPr>
        <w:t>wskaźnik referencyjny</w:t>
      </w:r>
      <w:r w:rsidRPr="0073487D">
        <w:rPr>
          <w:rFonts w:asciiTheme="minorHAnsi" w:hAnsiTheme="minorHAnsi" w:cstheme="minorHAnsi"/>
        </w:rPr>
        <w:t xml:space="preserve"> przyjmie wartość ujemną dla obliczenia oprocentowania kredytu w tym okresie</w:t>
      </w:r>
      <w:r w:rsidR="00644ED1" w:rsidRPr="0073487D">
        <w:rPr>
          <w:rFonts w:asciiTheme="minorHAnsi" w:hAnsiTheme="minorHAnsi" w:cstheme="minorHAnsi"/>
        </w:rPr>
        <w:t xml:space="preserve"> strony ustalą w Umowie kredytu, że</w:t>
      </w:r>
      <w:r w:rsidR="008D53A3" w:rsidRPr="0073487D">
        <w:rPr>
          <w:rFonts w:asciiTheme="minorHAnsi" w:hAnsiTheme="minorHAnsi" w:cstheme="minorHAnsi"/>
        </w:rPr>
        <w:t xml:space="preserve"> wskaźnik referencyjny</w:t>
      </w:r>
      <w:r w:rsidR="00644ED1" w:rsidRPr="0073487D">
        <w:rPr>
          <w:rFonts w:asciiTheme="minorHAnsi" w:hAnsiTheme="minorHAnsi" w:cstheme="minorHAnsi"/>
        </w:rPr>
        <w:t xml:space="preserve"> będzie miał poziom </w:t>
      </w:r>
      <w:r w:rsidRPr="0073487D">
        <w:rPr>
          <w:rFonts w:asciiTheme="minorHAnsi" w:hAnsiTheme="minorHAnsi" w:cstheme="minorHAnsi"/>
        </w:rPr>
        <w:t>„0” (zero). W wyniku działania matematycznego oprocentowanie kredytu będzie wówczas</w:t>
      </w:r>
      <w:r w:rsidR="00373BEA" w:rsidRPr="0073487D">
        <w:rPr>
          <w:rFonts w:asciiTheme="minorHAnsi" w:hAnsiTheme="minorHAnsi" w:cstheme="minorHAnsi"/>
        </w:rPr>
        <w:t xml:space="preserve"> równe wysokości marży kredytu</w:t>
      </w:r>
      <w:r w:rsidR="00A85152" w:rsidRPr="0073487D">
        <w:rPr>
          <w:rFonts w:asciiTheme="minorHAnsi" w:hAnsiTheme="minorHAnsi" w:cstheme="minorHAnsi"/>
        </w:rPr>
        <w:t xml:space="preserve">. </w:t>
      </w:r>
    </w:p>
    <w:p w14:paraId="5DE7DD3E" w14:textId="77777777" w:rsidR="00D6203B" w:rsidRDefault="00D6203B" w:rsidP="0073487D">
      <w:pPr>
        <w:autoSpaceDE w:val="0"/>
        <w:autoSpaceDN w:val="0"/>
        <w:adjustRightInd w:val="0"/>
        <w:ind w:left="425"/>
        <w:jc w:val="both"/>
        <w:rPr>
          <w:rFonts w:asciiTheme="minorHAnsi" w:hAnsiTheme="minorHAnsi" w:cstheme="minorHAnsi"/>
        </w:rPr>
      </w:pPr>
    </w:p>
    <w:p w14:paraId="77C6B0A3" w14:textId="77777777" w:rsidR="005C1A32" w:rsidRDefault="005C1A32" w:rsidP="0073487D">
      <w:pPr>
        <w:autoSpaceDE w:val="0"/>
        <w:autoSpaceDN w:val="0"/>
        <w:adjustRightInd w:val="0"/>
        <w:ind w:left="425"/>
        <w:jc w:val="both"/>
        <w:rPr>
          <w:rFonts w:asciiTheme="minorHAnsi" w:hAnsiTheme="minorHAnsi" w:cstheme="minorHAnsi"/>
        </w:rPr>
      </w:pPr>
    </w:p>
    <w:p w14:paraId="0E24A275" w14:textId="77777777" w:rsidR="005C1A32" w:rsidRDefault="005C1A32" w:rsidP="0073487D">
      <w:pPr>
        <w:autoSpaceDE w:val="0"/>
        <w:autoSpaceDN w:val="0"/>
        <w:adjustRightInd w:val="0"/>
        <w:ind w:left="425"/>
        <w:jc w:val="both"/>
        <w:rPr>
          <w:rFonts w:asciiTheme="minorHAnsi" w:hAnsiTheme="minorHAnsi" w:cstheme="minorHAnsi"/>
        </w:rPr>
      </w:pPr>
    </w:p>
    <w:p w14:paraId="745BC63A" w14:textId="77777777" w:rsidR="005C1A32" w:rsidRDefault="005C1A32" w:rsidP="0073487D">
      <w:pPr>
        <w:autoSpaceDE w:val="0"/>
        <w:autoSpaceDN w:val="0"/>
        <w:adjustRightInd w:val="0"/>
        <w:ind w:left="425"/>
        <w:jc w:val="both"/>
        <w:rPr>
          <w:rFonts w:asciiTheme="minorHAnsi" w:hAnsiTheme="minorHAnsi" w:cstheme="minorHAnsi"/>
        </w:rPr>
      </w:pPr>
    </w:p>
    <w:p w14:paraId="7F058E6C" w14:textId="77777777" w:rsidR="005C1A32" w:rsidRDefault="005C1A32" w:rsidP="0073487D">
      <w:pPr>
        <w:autoSpaceDE w:val="0"/>
        <w:autoSpaceDN w:val="0"/>
        <w:adjustRightInd w:val="0"/>
        <w:ind w:left="425"/>
        <w:jc w:val="both"/>
        <w:rPr>
          <w:rFonts w:asciiTheme="minorHAnsi" w:hAnsiTheme="minorHAnsi" w:cstheme="minorHAnsi"/>
        </w:rPr>
      </w:pPr>
    </w:p>
    <w:p w14:paraId="0E1B4B83" w14:textId="77777777" w:rsidR="005C1A32" w:rsidRDefault="005C1A32" w:rsidP="0073487D">
      <w:pPr>
        <w:autoSpaceDE w:val="0"/>
        <w:autoSpaceDN w:val="0"/>
        <w:adjustRightInd w:val="0"/>
        <w:ind w:left="425"/>
        <w:jc w:val="both"/>
        <w:rPr>
          <w:rFonts w:asciiTheme="minorHAnsi" w:hAnsiTheme="minorHAnsi" w:cstheme="minorHAnsi"/>
        </w:rPr>
      </w:pPr>
    </w:p>
    <w:p w14:paraId="70224E64" w14:textId="77777777" w:rsidR="005C1A32" w:rsidRDefault="005C1A32" w:rsidP="0073487D">
      <w:pPr>
        <w:autoSpaceDE w:val="0"/>
        <w:autoSpaceDN w:val="0"/>
        <w:adjustRightInd w:val="0"/>
        <w:ind w:left="425"/>
        <w:jc w:val="both"/>
        <w:rPr>
          <w:rFonts w:asciiTheme="minorHAnsi" w:hAnsiTheme="minorHAnsi" w:cstheme="minorHAnsi"/>
        </w:rPr>
      </w:pPr>
    </w:p>
    <w:p w14:paraId="28D20444" w14:textId="77777777" w:rsidR="005C1A32" w:rsidRDefault="005C1A32" w:rsidP="0073487D">
      <w:pPr>
        <w:autoSpaceDE w:val="0"/>
        <w:autoSpaceDN w:val="0"/>
        <w:adjustRightInd w:val="0"/>
        <w:ind w:left="425"/>
        <w:jc w:val="both"/>
        <w:rPr>
          <w:rFonts w:asciiTheme="minorHAnsi" w:hAnsiTheme="minorHAnsi" w:cstheme="minorHAnsi"/>
        </w:rPr>
      </w:pPr>
    </w:p>
    <w:p w14:paraId="089023D8" w14:textId="6F263BD3" w:rsidR="00644ED1" w:rsidRPr="0073487D" w:rsidRDefault="00B1517D" w:rsidP="0073487D">
      <w:pPr>
        <w:autoSpaceDE w:val="0"/>
        <w:autoSpaceDN w:val="0"/>
        <w:adjustRightInd w:val="0"/>
        <w:ind w:left="425"/>
        <w:jc w:val="both"/>
        <w:rPr>
          <w:rFonts w:asciiTheme="minorHAnsi" w:hAnsiTheme="minorHAnsi" w:cstheme="minorHAnsi"/>
        </w:rPr>
      </w:pPr>
      <w:r w:rsidRPr="0073487D">
        <w:rPr>
          <w:rFonts w:asciiTheme="minorHAnsi" w:hAnsiTheme="minorHAnsi" w:cstheme="minorHAnsi"/>
        </w:rPr>
        <w:t xml:space="preserve">Poniższy przykład prezentuje wpływ zmian </w:t>
      </w:r>
      <w:r w:rsidR="008D53A3" w:rsidRPr="0073487D">
        <w:rPr>
          <w:rFonts w:asciiTheme="minorHAnsi" w:hAnsiTheme="minorHAnsi" w:cstheme="minorHAnsi"/>
        </w:rPr>
        <w:t>wskaźnika referencyjnego</w:t>
      </w:r>
      <w:r w:rsidRPr="0073487D">
        <w:rPr>
          <w:rFonts w:asciiTheme="minorHAnsi" w:hAnsiTheme="minorHAnsi" w:cstheme="minorHAnsi"/>
        </w:rPr>
        <w:t xml:space="preserve"> na oprocentowanie zmienne i ratę kredytu w wysokości 110 tys. zł udzielonego na 25 lat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415"/>
        <w:gridCol w:w="2415"/>
        <w:gridCol w:w="2415"/>
      </w:tblGrid>
      <w:tr w:rsidR="0073487D" w:rsidRPr="0073487D" w14:paraId="3F4B516C" w14:textId="77777777" w:rsidTr="000C4F6D">
        <w:trPr>
          <w:trHeight w:val="383"/>
        </w:trPr>
        <w:tc>
          <w:tcPr>
            <w:tcW w:w="2415" w:type="dxa"/>
            <w:shd w:val="clear" w:color="auto" w:fill="auto"/>
          </w:tcPr>
          <w:p w14:paraId="1CBBCFB1" w14:textId="78B81F48" w:rsidR="00A85152" w:rsidRPr="0073487D" w:rsidRDefault="002E336D"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WSKAŹNIK REFERENCYJNY</w:t>
            </w:r>
          </w:p>
        </w:tc>
        <w:tc>
          <w:tcPr>
            <w:tcW w:w="2415" w:type="dxa"/>
            <w:shd w:val="clear" w:color="auto" w:fill="auto"/>
          </w:tcPr>
          <w:p w14:paraId="6C1B71F2" w14:textId="77777777" w:rsidR="00A85152" w:rsidRPr="0073487D" w:rsidRDefault="00A85152"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MARŻA BANKU</w:t>
            </w:r>
          </w:p>
        </w:tc>
        <w:tc>
          <w:tcPr>
            <w:tcW w:w="2415" w:type="dxa"/>
            <w:shd w:val="clear" w:color="auto" w:fill="auto"/>
          </w:tcPr>
          <w:p w14:paraId="73EF370A" w14:textId="77777777" w:rsidR="00A85152" w:rsidRPr="0073487D" w:rsidRDefault="00A85152"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OPROCENTOWANIE KREDYTU</w:t>
            </w:r>
          </w:p>
        </w:tc>
        <w:tc>
          <w:tcPr>
            <w:tcW w:w="2415" w:type="dxa"/>
          </w:tcPr>
          <w:p w14:paraId="3B1F6AA7" w14:textId="77777777" w:rsidR="00A85152" w:rsidRPr="0073487D" w:rsidRDefault="00A85152"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RATA</w:t>
            </w:r>
          </w:p>
        </w:tc>
      </w:tr>
      <w:tr w:rsidR="0073487D" w:rsidRPr="0073487D" w14:paraId="4DC61FB1" w14:textId="77777777" w:rsidTr="000C4F6D">
        <w:tc>
          <w:tcPr>
            <w:tcW w:w="2415" w:type="dxa"/>
            <w:shd w:val="clear" w:color="auto" w:fill="auto"/>
          </w:tcPr>
          <w:p w14:paraId="477F8462"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8%</w:t>
            </w:r>
          </w:p>
        </w:tc>
        <w:tc>
          <w:tcPr>
            <w:tcW w:w="2415" w:type="dxa"/>
            <w:shd w:val="clear" w:color="auto" w:fill="auto"/>
          </w:tcPr>
          <w:p w14:paraId="02068FE1"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1%</w:t>
            </w:r>
          </w:p>
        </w:tc>
        <w:tc>
          <w:tcPr>
            <w:tcW w:w="2415" w:type="dxa"/>
            <w:shd w:val="clear" w:color="auto" w:fill="auto"/>
          </w:tcPr>
          <w:p w14:paraId="50CA49E8"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9%</w:t>
            </w:r>
          </w:p>
        </w:tc>
        <w:tc>
          <w:tcPr>
            <w:tcW w:w="2415" w:type="dxa"/>
          </w:tcPr>
          <w:p w14:paraId="7B8238B3" w14:textId="77777777" w:rsidR="00207A29" w:rsidRPr="0073487D" w:rsidRDefault="00557156"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923,12 zł</w:t>
            </w:r>
          </w:p>
        </w:tc>
      </w:tr>
      <w:tr w:rsidR="0073487D" w:rsidRPr="0073487D" w14:paraId="3BC7E667" w14:textId="77777777" w:rsidTr="000C4F6D">
        <w:tc>
          <w:tcPr>
            <w:tcW w:w="2415" w:type="dxa"/>
            <w:shd w:val="clear" w:color="auto" w:fill="auto"/>
          </w:tcPr>
          <w:p w14:paraId="44BA9C19"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6%</w:t>
            </w:r>
          </w:p>
        </w:tc>
        <w:tc>
          <w:tcPr>
            <w:tcW w:w="2415" w:type="dxa"/>
            <w:shd w:val="clear" w:color="auto" w:fill="auto"/>
          </w:tcPr>
          <w:p w14:paraId="460339E8"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1%</w:t>
            </w:r>
          </w:p>
        </w:tc>
        <w:tc>
          <w:tcPr>
            <w:tcW w:w="2415" w:type="dxa"/>
            <w:shd w:val="clear" w:color="auto" w:fill="auto"/>
          </w:tcPr>
          <w:p w14:paraId="04D1566C"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7%</w:t>
            </w:r>
          </w:p>
        </w:tc>
        <w:tc>
          <w:tcPr>
            <w:tcW w:w="2415" w:type="dxa"/>
          </w:tcPr>
          <w:p w14:paraId="6DED183E" w14:textId="77777777" w:rsidR="00207A29" w:rsidRPr="0073487D" w:rsidRDefault="00557156"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777,46 zł</w:t>
            </w:r>
          </w:p>
        </w:tc>
      </w:tr>
      <w:tr w:rsidR="0073487D" w:rsidRPr="0073487D" w14:paraId="4B951FEF" w14:textId="77777777" w:rsidTr="000C4F6D">
        <w:tc>
          <w:tcPr>
            <w:tcW w:w="2415" w:type="dxa"/>
            <w:shd w:val="clear" w:color="auto" w:fill="auto"/>
          </w:tcPr>
          <w:p w14:paraId="7EDEDC33"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3%</w:t>
            </w:r>
          </w:p>
        </w:tc>
        <w:tc>
          <w:tcPr>
            <w:tcW w:w="2415" w:type="dxa"/>
            <w:shd w:val="clear" w:color="auto" w:fill="auto"/>
          </w:tcPr>
          <w:p w14:paraId="46B2881D"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1%</w:t>
            </w:r>
          </w:p>
        </w:tc>
        <w:tc>
          <w:tcPr>
            <w:tcW w:w="2415" w:type="dxa"/>
            <w:shd w:val="clear" w:color="auto" w:fill="auto"/>
          </w:tcPr>
          <w:p w14:paraId="4A1C967A"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4%</w:t>
            </w:r>
          </w:p>
        </w:tc>
        <w:tc>
          <w:tcPr>
            <w:tcW w:w="2415" w:type="dxa"/>
          </w:tcPr>
          <w:p w14:paraId="45C5AD46" w14:textId="77777777" w:rsidR="00207A29" w:rsidRPr="0073487D" w:rsidRDefault="00AE3EC3"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580,62 zł</w:t>
            </w:r>
          </w:p>
        </w:tc>
      </w:tr>
      <w:tr w:rsidR="0073487D" w:rsidRPr="0073487D" w14:paraId="12BD5748" w14:textId="77777777" w:rsidTr="000C4F6D">
        <w:tc>
          <w:tcPr>
            <w:tcW w:w="2415" w:type="dxa"/>
            <w:shd w:val="clear" w:color="auto" w:fill="auto"/>
          </w:tcPr>
          <w:p w14:paraId="32F6F4EF"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1%</w:t>
            </w:r>
          </w:p>
        </w:tc>
        <w:tc>
          <w:tcPr>
            <w:tcW w:w="2415" w:type="dxa"/>
            <w:shd w:val="clear" w:color="auto" w:fill="auto"/>
          </w:tcPr>
          <w:p w14:paraId="471F37E3"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1%</w:t>
            </w:r>
          </w:p>
        </w:tc>
        <w:tc>
          <w:tcPr>
            <w:tcW w:w="2415" w:type="dxa"/>
            <w:shd w:val="clear" w:color="auto" w:fill="auto"/>
          </w:tcPr>
          <w:p w14:paraId="13AFC8BF"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2%</w:t>
            </w:r>
          </w:p>
        </w:tc>
        <w:tc>
          <w:tcPr>
            <w:tcW w:w="2415" w:type="dxa"/>
          </w:tcPr>
          <w:p w14:paraId="59B51396" w14:textId="77777777" w:rsidR="00207A29" w:rsidRPr="0073487D" w:rsidRDefault="00207A29"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466,24 zł</w:t>
            </w:r>
          </w:p>
        </w:tc>
      </w:tr>
      <w:tr w:rsidR="0073487D" w:rsidRPr="0073487D" w14:paraId="13E3CACD" w14:textId="77777777" w:rsidTr="000C4F6D">
        <w:tc>
          <w:tcPr>
            <w:tcW w:w="2415" w:type="dxa"/>
            <w:shd w:val="clear" w:color="auto" w:fill="auto"/>
          </w:tcPr>
          <w:p w14:paraId="04CA2D51" w14:textId="77777777" w:rsidR="00A85152" w:rsidRPr="0073487D" w:rsidRDefault="00A85152"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0,22%</w:t>
            </w:r>
          </w:p>
        </w:tc>
        <w:tc>
          <w:tcPr>
            <w:tcW w:w="2415" w:type="dxa"/>
            <w:shd w:val="clear" w:color="auto" w:fill="auto"/>
          </w:tcPr>
          <w:p w14:paraId="5B392CD4" w14:textId="77777777" w:rsidR="00A85152" w:rsidRPr="0073487D" w:rsidRDefault="00A85152"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1 %</w:t>
            </w:r>
          </w:p>
        </w:tc>
        <w:tc>
          <w:tcPr>
            <w:tcW w:w="2415" w:type="dxa"/>
            <w:shd w:val="clear" w:color="auto" w:fill="auto"/>
          </w:tcPr>
          <w:p w14:paraId="3B79A7E5" w14:textId="77777777" w:rsidR="00A85152" w:rsidRPr="0073487D" w:rsidRDefault="00A85152" w:rsidP="0073487D">
            <w:pPr>
              <w:tabs>
                <w:tab w:val="left" w:pos="1709"/>
                <w:tab w:val="center" w:pos="2018"/>
              </w:tabs>
              <w:autoSpaceDE w:val="0"/>
              <w:autoSpaceDN w:val="0"/>
              <w:adjustRightInd w:val="0"/>
              <w:jc w:val="both"/>
              <w:rPr>
                <w:rFonts w:asciiTheme="minorHAnsi" w:hAnsiTheme="minorHAnsi" w:cstheme="minorHAnsi"/>
              </w:rPr>
            </w:pPr>
            <w:r w:rsidRPr="0073487D">
              <w:rPr>
                <w:rFonts w:asciiTheme="minorHAnsi" w:hAnsiTheme="minorHAnsi" w:cstheme="minorHAnsi"/>
              </w:rPr>
              <w:t>1,22%</w:t>
            </w:r>
          </w:p>
        </w:tc>
        <w:tc>
          <w:tcPr>
            <w:tcW w:w="2415" w:type="dxa"/>
          </w:tcPr>
          <w:p w14:paraId="452ABEBA" w14:textId="77777777" w:rsidR="00A85152" w:rsidRPr="0073487D" w:rsidRDefault="00327758" w:rsidP="0073487D">
            <w:pPr>
              <w:tabs>
                <w:tab w:val="left" w:pos="1709"/>
                <w:tab w:val="center" w:pos="2018"/>
              </w:tabs>
              <w:autoSpaceDE w:val="0"/>
              <w:autoSpaceDN w:val="0"/>
              <w:adjustRightInd w:val="0"/>
              <w:jc w:val="both"/>
              <w:rPr>
                <w:rFonts w:asciiTheme="minorHAnsi" w:hAnsiTheme="minorHAnsi" w:cstheme="minorHAnsi"/>
              </w:rPr>
            </w:pPr>
            <w:r w:rsidRPr="0073487D">
              <w:rPr>
                <w:rFonts w:asciiTheme="minorHAnsi" w:hAnsiTheme="minorHAnsi" w:cstheme="minorHAnsi"/>
              </w:rPr>
              <w:t>425,61 zł</w:t>
            </w:r>
          </w:p>
        </w:tc>
      </w:tr>
      <w:tr w:rsidR="0073487D" w:rsidRPr="0073487D" w14:paraId="46DAFEFE" w14:textId="77777777" w:rsidTr="000C4F6D">
        <w:tc>
          <w:tcPr>
            <w:tcW w:w="2415" w:type="dxa"/>
            <w:shd w:val="clear" w:color="auto" w:fill="auto"/>
          </w:tcPr>
          <w:p w14:paraId="24E7DD29" w14:textId="77777777" w:rsidR="00A85152" w:rsidRPr="0073487D" w:rsidRDefault="00A85152"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0 %</w:t>
            </w:r>
          </w:p>
        </w:tc>
        <w:tc>
          <w:tcPr>
            <w:tcW w:w="2415" w:type="dxa"/>
            <w:shd w:val="clear" w:color="auto" w:fill="auto"/>
          </w:tcPr>
          <w:p w14:paraId="6E1C3AB2" w14:textId="77777777" w:rsidR="00A85152" w:rsidRPr="0073487D" w:rsidRDefault="00A85152"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1 %</w:t>
            </w:r>
          </w:p>
        </w:tc>
        <w:tc>
          <w:tcPr>
            <w:tcW w:w="2415" w:type="dxa"/>
            <w:shd w:val="clear" w:color="auto" w:fill="auto"/>
          </w:tcPr>
          <w:p w14:paraId="4C049F79" w14:textId="77777777" w:rsidR="00A85152" w:rsidRPr="0073487D" w:rsidRDefault="00A85152"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1%</w:t>
            </w:r>
          </w:p>
        </w:tc>
        <w:tc>
          <w:tcPr>
            <w:tcW w:w="2415" w:type="dxa"/>
          </w:tcPr>
          <w:p w14:paraId="6866B281" w14:textId="77777777" w:rsidR="00A85152" w:rsidRPr="0073487D" w:rsidRDefault="00327758"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414,56 zł</w:t>
            </w:r>
          </w:p>
        </w:tc>
      </w:tr>
      <w:tr w:rsidR="00A85152" w:rsidRPr="0073487D" w14:paraId="2F9250D6" w14:textId="77777777" w:rsidTr="000C4F6D">
        <w:tc>
          <w:tcPr>
            <w:tcW w:w="2415" w:type="dxa"/>
            <w:shd w:val="clear" w:color="auto" w:fill="auto"/>
          </w:tcPr>
          <w:p w14:paraId="5A7520FA" w14:textId="77777777" w:rsidR="00A85152" w:rsidRPr="0073487D" w:rsidRDefault="00A85152"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-0,5%</w:t>
            </w:r>
          </w:p>
        </w:tc>
        <w:tc>
          <w:tcPr>
            <w:tcW w:w="2415" w:type="dxa"/>
            <w:shd w:val="clear" w:color="auto" w:fill="auto"/>
          </w:tcPr>
          <w:p w14:paraId="5A7EF454" w14:textId="77777777" w:rsidR="00A85152" w:rsidRPr="0073487D" w:rsidRDefault="00A85152"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1 %</w:t>
            </w:r>
          </w:p>
        </w:tc>
        <w:tc>
          <w:tcPr>
            <w:tcW w:w="2415" w:type="dxa"/>
            <w:shd w:val="clear" w:color="auto" w:fill="auto"/>
          </w:tcPr>
          <w:p w14:paraId="53702EBB" w14:textId="77777777" w:rsidR="00A85152" w:rsidRPr="0073487D" w:rsidRDefault="00A85152"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1%</w:t>
            </w:r>
          </w:p>
        </w:tc>
        <w:tc>
          <w:tcPr>
            <w:tcW w:w="2415" w:type="dxa"/>
          </w:tcPr>
          <w:p w14:paraId="11BD8B36" w14:textId="77777777" w:rsidR="00A85152" w:rsidRPr="0073487D" w:rsidRDefault="00327758" w:rsidP="0073487D">
            <w:pPr>
              <w:autoSpaceDE w:val="0"/>
              <w:autoSpaceDN w:val="0"/>
              <w:adjustRightInd w:val="0"/>
              <w:jc w:val="both"/>
              <w:rPr>
                <w:rFonts w:asciiTheme="minorHAnsi" w:hAnsiTheme="minorHAnsi" w:cstheme="minorHAnsi"/>
              </w:rPr>
            </w:pPr>
            <w:r w:rsidRPr="0073487D">
              <w:rPr>
                <w:rFonts w:asciiTheme="minorHAnsi" w:hAnsiTheme="minorHAnsi" w:cstheme="minorHAnsi"/>
              </w:rPr>
              <w:t>414,56 zł</w:t>
            </w:r>
          </w:p>
        </w:tc>
      </w:tr>
    </w:tbl>
    <w:p w14:paraId="1B3400C1" w14:textId="77777777" w:rsidR="00644ED1" w:rsidRPr="0073487D" w:rsidRDefault="00644ED1" w:rsidP="0073487D">
      <w:pPr>
        <w:autoSpaceDE w:val="0"/>
        <w:autoSpaceDN w:val="0"/>
        <w:adjustRightInd w:val="0"/>
        <w:jc w:val="both"/>
        <w:rPr>
          <w:rFonts w:asciiTheme="minorHAnsi" w:hAnsiTheme="minorHAnsi" w:cstheme="minorHAnsi"/>
          <w:u w:val="single"/>
        </w:rPr>
      </w:pPr>
    </w:p>
    <w:p w14:paraId="350DABE1" w14:textId="77777777" w:rsidR="009A504C" w:rsidRPr="0073487D" w:rsidRDefault="00861DE8" w:rsidP="0073487D">
      <w:pPr>
        <w:autoSpaceDE w:val="0"/>
        <w:autoSpaceDN w:val="0"/>
        <w:adjustRightInd w:val="0"/>
        <w:ind w:left="425"/>
        <w:jc w:val="both"/>
        <w:rPr>
          <w:rFonts w:asciiTheme="minorHAnsi" w:hAnsiTheme="minorHAnsi" w:cstheme="minorHAnsi"/>
        </w:rPr>
      </w:pPr>
      <w:r w:rsidRPr="0073487D">
        <w:rPr>
          <w:rFonts w:asciiTheme="minorHAnsi" w:hAnsiTheme="minorHAnsi" w:cstheme="minorHAnsi"/>
        </w:rPr>
        <w:t>Wartości wskaźnika referencyjnego,</w:t>
      </w:r>
      <w:r w:rsidR="009A504C" w:rsidRPr="0073487D">
        <w:rPr>
          <w:rFonts w:asciiTheme="minorHAnsi" w:hAnsiTheme="minorHAnsi" w:cstheme="minorHAnsi"/>
        </w:rPr>
        <w:t xml:space="preserve">  </w:t>
      </w:r>
      <w:r w:rsidRPr="0073487D">
        <w:rPr>
          <w:rFonts w:asciiTheme="minorHAnsi" w:hAnsiTheme="minorHAnsi" w:cstheme="minorHAnsi"/>
        </w:rPr>
        <w:t>powinn</w:t>
      </w:r>
      <w:r w:rsidR="009A504C" w:rsidRPr="0073487D">
        <w:rPr>
          <w:rFonts w:asciiTheme="minorHAnsi" w:hAnsiTheme="minorHAnsi" w:cstheme="minorHAnsi"/>
        </w:rPr>
        <w:t>y</w:t>
      </w:r>
      <w:r w:rsidRPr="0073487D">
        <w:rPr>
          <w:rFonts w:asciiTheme="minorHAnsi" w:hAnsiTheme="minorHAnsi" w:cstheme="minorHAnsi"/>
        </w:rPr>
        <w:t xml:space="preserve"> być brane pod uwagę przez K</w:t>
      </w:r>
      <w:r w:rsidR="003962B6" w:rsidRPr="0073487D">
        <w:rPr>
          <w:rFonts w:asciiTheme="minorHAnsi" w:hAnsiTheme="minorHAnsi" w:cstheme="minorHAnsi"/>
        </w:rPr>
        <w:t>redytobiorców</w:t>
      </w:r>
      <w:r w:rsidRPr="0073487D">
        <w:rPr>
          <w:rFonts w:asciiTheme="minorHAnsi" w:hAnsiTheme="minorHAnsi" w:cstheme="minorHAnsi"/>
        </w:rPr>
        <w:t xml:space="preserve">, u których kwota zobowiązań z tytułu kredytu przekracza połowę uzyskiwanych dochodów. </w:t>
      </w:r>
    </w:p>
    <w:p w14:paraId="6887A051" w14:textId="77777777" w:rsidR="008D53A3" w:rsidRPr="0073487D" w:rsidRDefault="008D53A3" w:rsidP="0073487D">
      <w:pPr>
        <w:autoSpaceDE w:val="0"/>
        <w:autoSpaceDN w:val="0"/>
        <w:adjustRightInd w:val="0"/>
        <w:ind w:left="425"/>
        <w:jc w:val="both"/>
        <w:rPr>
          <w:rFonts w:asciiTheme="minorHAnsi" w:hAnsiTheme="minorHAnsi" w:cstheme="minorHAnsi"/>
        </w:rPr>
      </w:pPr>
    </w:p>
    <w:p w14:paraId="361E2B81" w14:textId="77777777" w:rsidR="00861DE8" w:rsidRPr="0073487D" w:rsidRDefault="00861DE8" w:rsidP="0073487D">
      <w:pPr>
        <w:autoSpaceDE w:val="0"/>
        <w:autoSpaceDN w:val="0"/>
        <w:adjustRightInd w:val="0"/>
        <w:ind w:left="425"/>
        <w:jc w:val="both"/>
        <w:rPr>
          <w:rFonts w:asciiTheme="minorHAnsi" w:hAnsiTheme="minorHAnsi" w:cstheme="minorHAnsi"/>
        </w:rPr>
      </w:pPr>
      <w:r w:rsidRPr="0073487D">
        <w:rPr>
          <w:rFonts w:asciiTheme="minorHAnsi" w:hAnsiTheme="minorHAnsi" w:cstheme="minorHAnsi"/>
        </w:rPr>
        <w:t>W takiej sytuacji wzrost raty kredytu może się wiązać z koniecznością ograniczenia wydatków lub brakiem środków pieniężnych na spłatę rat kredytu.</w:t>
      </w:r>
    </w:p>
    <w:p w14:paraId="3E77B2CE" w14:textId="77777777" w:rsidR="00861DE8" w:rsidRPr="0073487D" w:rsidRDefault="00861DE8" w:rsidP="0073487D">
      <w:pPr>
        <w:autoSpaceDE w:val="0"/>
        <w:autoSpaceDN w:val="0"/>
        <w:adjustRightInd w:val="0"/>
        <w:jc w:val="both"/>
        <w:rPr>
          <w:rFonts w:asciiTheme="minorHAnsi" w:hAnsiTheme="minorHAnsi" w:cstheme="minorHAnsi"/>
        </w:rPr>
      </w:pPr>
    </w:p>
    <w:p w14:paraId="1113527E" w14:textId="77777777" w:rsidR="00EB0D90" w:rsidRPr="0073487D" w:rsidRDefault="00E846AB" w:rsidP="0073487D">
      <w:pPr>
        <w:autoSpaceDE w:val="0"/>
        <w:autoSpaceDN w:val="0"/>
        <w:adjustRightInd w:val="0"/>
        <w:ind w:left="425"/>
        <w:jc w:val="both"/>
        <w:rPr>
          <w:rFonts w:asciiTheme="minorHAnsi" w:hAnsiTheme="minorHAnsi" w:cstheme="minorHAnsi"/>
        </w:rPr>
      </w:pPr>
      <w:r w:rsidRPr="0073487D">
        <w:rPr>
          <w:rFonts w:asciiTheme="minorHAnsi" w:hAnsiTheme="minorHAnsi" w:cstheme="minorHAnsi"/>
        </w:rPr>
        <w:t>Przyszłe</w:t>
      </w:r>
      <w:r w:rsidR="00757F4A" w:rsidRPr="0073487D">
        <w:rPr>
          <w:rFonts w:asciiTheme="minorHAnsi" w:hAnsiTheme="minorHAnsi" w:cstheme="minorHAnsi"/>
        </w:rPr>
        <w:t xml:space="preserve"> wartości stopy procentowej w dużym stopniu zależą od jej przeszłych notowań, które niekoniecznie będą odzwierciedlać trend długookresowy. Z drugiej jednak strony Kredytobiorca powinien prześledzić, jak kształtowały się dane historyczne dotyczące stopy procentowej. Przeszłe trendy mogą pomóc w podjęciu decyzji dotyczącej wyboru oferty kredytowej, nie stanowią jednak żadnej gwarancji na przyszłość w kwestii kształtowania się sytuacji na rynku.</w:t>
      </w:r>
    </w:p>
    <w:p w14:paraId="2D507475" w14:textId="77777777" w:rsidR="00757F4A" w:rsidRPr="0073487D" w:rsidRDefault="00757F4A" w:rsidP="0073487D">
      <w:pPr>
        <w:autoSpaceDE w:val="0"/>
        <w:autoSpaceDN w:val="0"/>
        <w:adjustRightInd w:val="0"/>
        <w:jc w:val="both"/>
        <w:rPr>
          <w:rFonts w:asciiTheme="minorHAnsi" w:hAnsiTheme="minorHAnsi" w:cstheme="minorHAnsi"/>
        </w:rPr>
      </w:pPr>
    </w:p>
    <w:p w14:paraId="02906754" w14:textId="78BA30CB" w:rsidR="00757F4A" w:rsidRPr="0073487D" w:rsidRDefault="00757F4A" w:rsidP="0073487D">
      <w:pPr>
        <w:autoSpaceDE w:val="0"/>
        <w:autoSpaceDN w:val="0"/>
        <w:adjustRightInd w:val="0"/>
        <w:ind w:left="425"/>
        <w:jc w:val="both"/>
        <w:rPr>
          <w:rFonts w:asciiTheme="minorHAnsi" w:hAnsiTheme="minorHAnsi" w:cstheme="minorHAnsi"/>
        </w:rPr>
      </w:pPr>
      <w:r w:rsidRPr="0073487D">
        <w:rPr>
          <w:rFonts w:asciiTheme="minorHAnsi" w:hAnsiTheme="minorHAnsi" w:cstheme="minorHAnsi"/>
        </w:rPr>
        <w:t>Zmiany stopy procentowej będą powodować zmiany wysokości raty kredytu oprocentowanego według zmiennej stopy procentowej. Z tego względu przy podejmowaniu decyzji o rodzaju oprocentowania (stałe lub zmienne), szczególnie w przypadku wieloletniego kredytu hipotecznego, pod uwagę trzeba brać długoterminowy trend na rynku, a nie krótkotrwałe wahania stopy procentowej. Bank informuje K</w:t>
      </w:r>
      <w:r w:rsidR="003962B6" w:rsidRPr="0073487D">
        <w:rPr>
          <w:rFonts w:asciiTheme="minorHAnsi" w:hAnsiTheme="minorHAnsi" w:cstheme="minorHAnsi"/>
        </w:rPr>
        <w:t>redytobiorców</w:t>
      </w:r>
      <w:r w:rsidRPr="0073487D">
        <w:rPr>
          <w:rFonts w:asciiTheme="minorHAnsi" w:hAnsiTheme="minorHAnsi" w:cstheme="minorHAnsi"/>
        </w:rPr>
        <w:t xml:space="preserve"> o kosztach i ryzykach związanych z kredytem przed zawarciem umowy. </w:t>
      </w:r>
    </w:p>
    <w:p w14:paraId="19EECFF6" w14:textId="79ACDFB7" w:rsidR="00B70F48" w:rsidRPr="0073487D" w:rsidRDefault="00B70F48" w:rsidP="0073487D">
      <w:pPr>
        <w:autoSpaceDE w:val="0"/>
        <w:autoSpaceDN w:val="0"/>
        <w:adjustRightInd w:val="0"/>
        <w:ind w:left="425"/>
        <w:jc w:val="both"/>
        <w:rPr>
          <w:rFonts w:asciiTheme="minorHAnsi" w:hAnsiTheme="minorHAnsi" w:cstheme="minorHAnsi"/>
        </w:rPr>
      </w:pPr>
    </w:p>
    <w:p w14:paraId="7F8AA8F1" w14:textId="77777777" w:rsidR="00B70F48" w:rsidRPr="0073487D" w:rsidRDefault="00B70F48" w:rsidP="0073487D">
      <w:pPr>
        <w:ind w:left="425"/>
        <w:jc w:val="both"/>
        <w:rPr>
          <w:rFonts w:asciiTheme="minorHAnsi" w:hAnsiTheme="minorHAnsi" w:cstheme="minorHAnsi"/>
        </w:rPr>
      </w:pPr>
      <w:r w:rsidRPr="0073487D">
        <w:rPr>
          <w:rFonts w:asciiTheme="minorHAnsi" w:hAnsiTheme="minorHAnsi" w:cstheme="minorHAnsi"/>
        </w:rPr>
        <w:t>Jednym z elementów ryzyka zmiennej stopy procentowej jest możliwość wystąpienia istotnej zmiany wskaźnika referencyjnego lub zaprzestanie jego publikacji, ryzyko zmiany w sposób trwały lub czasowy metody opracowywania wskaźnika referencyjnego.</w:t>
      </w:r>
    </w:p>
    <w:p w14:paraId="780F5707" w14:textId="77777777" w:rsidR="00B70F48" w:rsidRPr="0073487D" w:rsidRDefault="00B70F48" w:rsidP="0073487D">
      <w:pPr>
        <w:autoSpaceDE w:val="0"/>
        <w:autoSpaceDN w:val="0"/>
        <w:adjustRightInd w:val="0"/>
        <w:ind w:left="425"/>
        <w:jc w:val="both"/>
        <w:rPr>
          <w:rFonts w:asciiTheme="minorHAnsi" w:hAnsiTheme="minorHAnsi" w:cstheme="minorHAnsi"/>
        </w:rPr>
      </w:pPr>
    </w:p>
    <w:p w14:paraId="5112FE60" w14:textId="7FA86953" w:rsidR="00373BEA" w:rsidRPr="00C32315" w:rsidRDefault="00373BEA" w:rsidP="0073487D">
      <w:pPr>
        <w:autoSpaceDE w:val="0"/>
        <w:autoSpaceDN w:val="0"/>
        <w:adjustRightInd w:val="0"/>
        <w:ind w:firstLine="425"/>
        <w:jc w:val="both"/>
        <w:rPr>
          <w:rFonts w:asciiTheme="minorHAnsi" w:hAnsiTheme="minorHAnsi" w:cstheme="minorHAnsi"/>
          <w:b/>
          <w:bCs/>
          <w:iCs/>
        </w:rPr>
      </w:pPr>
      <w:r w:rsidRPr="00C32315">
        <w:rPr>
          <w:rFonts w:asciiTheme="minorHAnsi" w:hAnsiTheme="minorHAnsi" w:cstheme="minorHAnsi"/>
          <w:b/>
          <w:bCs/>
          <w:iCs/>
        </w:rPr>
        <w:t xml:space="preserve">Wykres notowań </w:t>
      </w:r>
      <w:r w:rsidR="004C4929" w:rsidRPr="00C32315">
        <w:rPr>
          <w:rFonts w:asciiTheme="minorHAnsi" w:hAnsiTheme="minorHAnsi" w:cstheme="minorHAnsi"/>
          <w:b/>
          <w:bCs/>
          <w:iCs/>
        </w:rPr>
        <w:t xml:space="preserve">wskaźnika referencyjnego - </w:t>
      </w:r>
      <w:r w:rsidRPr="00C32315">
        <w:rPr>
          <w:rFonts w:asciiTheme="minorHAnsi" w:hAnsiTheme="minorHAnsi" w:cstheme="minorHAnsi"/>
          <w:b/>
          <w:bCs/>
          <w:iCs/>
        </w:rPr>
        <w:t>stawki WIBOR 3M w latach 20</w:t>
      </w:r>
      <w:r w:rsidR="003A493B" w:rsidRPr="00C32315">
        <w:rPr>
          <w:rFonts w:asciiTheme="minorHAnsi" w:hAnsiTheme="minorHAnsi" w:cstheme="minorHAnsi"/>
          <w:b/>
          <w:bCs/>
          <w:iCs/>
        </w:rPr>
        <w:t>10</w:t>
      </w:r>
      <w:r w:rsidRPr="00C32315">
        <w:rPr>
          <w:rFonts w:asciiTheme="minorHAnsi" w:hAnsiTheme="minorHAnsi" w:cstheme="minorHAnsi"/>
          <w:b/>
          <w:bCs/>
          <w:iCs/>
        </w:rPr>
        <w:t>-202</w:t>
      </w:r>
      <w:r w:rsidR="00776435" w:rsidRPr="00C32315">
        <w:rPr>
          <w:rFonts w:asciiTheme="minorHAnsi" w:hAnsiTheme="minorHAnsi" w:cstheme="minorHAnsi"/>
          <w:b/>
          <w:bCs/>
          <w:iCs/>
        </w:rPr>
        <w:t>3</w:t>
      </w:r>
      <w:r w:rsidRPr="00C32315">
        <w:rPr>
          <w:rFonts w:asciiTheme="minorHAnsi" w:hAnsiTheme="minorHAnsi" w:cstheme="minorHAnsi"/>
          <w:b/>
          <w:bCs/>
          <w:iCs/>
        </w:rPr>
        <w:t>r.</w:t>
      </w:r>
    </w:p>
    <w:p w14:paraId="60B59213" w14:textId="479BE1B0" w:rsidR="00373BEA" w:rsidRPr="0073487D" w:rsidRDefault="00373BEA" w:rsidP="0073487D">
      <w:pPr>
        <w:autoSpaceDE w:val="0"/>
        <w:autoSpaceDN w:val="0"/>
        <w:adjustRightInd w:val="0"/>
        <w:ind w:firstLine="425"/>
        <w:jc w:val="both"/>
        <w:rPr>
          <w:rFonts w:asciiTheme="minorHAnsi" w:hAnsiTheme="minorHAnsi" w:cstheme="minorHAnsi"/>
          <w:noProof/>
        </w:rPr>
      </w:pPr>
    </w:p>
    <w:p w14:paraId="422DED7C" w14:textId="1B51F40A" w:rsidR="003A493B" w:rsidRPr="0073487D" w:rsidRDefault="003A493B" w:rsidP="0073487D">
      <w:pPr>
        <w:autoSpaceDE w:val="0"/>
        <w:autoSpaceDN w:val="0"/>
        <w:adjustRightInd w:val="0"/>
        <w:ind w:firstLine="425"/>
        <w:jc w:val="both"/>
        <w:rPr>
          <w:rFonts w:asciiTheme="minorHAnsi" w:hAnsiTheme="minorHAnsi" w:cstheme="minorHAnsi"/>
          <w:b/>
          <w:i/>
          <w:iCs/>
        </w:rPr>
      </w:pPr>
      <w:r w:rsidRPr="0073487D">
        <w:rPr>
          <w:rFonts w:asciiTheme="minorHAnsi" w:hAnsiTheme="minorHAnsi" w:cstheme="minorHAnsi"/>
          <w:noProof/>
        </w:rPr>
        <w:drawing>
          <wp:inline distT="0" distB="0" distL="0" distR="0" wp14:anchorId="320BEF76" wp14:editId="3B3C9B7B">
            <wp:extent cx="6479540" cy="302958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79540" cy="3029585"/>
                    </a:xfrm>
                    <a:prstGeom prst="rect">
                      <a:avLst/>
                    </a:prstGeom>
                  </pic:spPr>
                </pic:pic>
              </a:graphicData>
            </a:graphic>
          </wp:inline>
        </w:drawing>
      </w:r>
    </w:p>
    <w:p w14:paraId="7CC8FABD" w14:textId="77777777" w:rsidR="00373BEA" w:rsidRPr="0073487D" w:rsidRDefault="00373BEA" w:rsidP="0073487D">
      <w:pPr>
        <w:ind w:left="360"/>
        <w:jc w:val="both"/>
        <w:rPr>
          <w:rFonts w:asciiTheme="minorHAnsi" w:hAnsiTheme="minorHAnsi" w:cstheme="minorHAnsi"/>
          <w:u w:val="single"/>
        </w:rPr>
      </w:pPr>
      <w:r w:rsidRPr="0073487D">
        <w:rPr>
          <w:rFonts w:asciiTheme="minorHAnsi" w:hAnsiTheme="minorHAnsi" w:cstheme="minorHAnsi"/>
          <w:iCs/>
        </w:rPr>
        <w:t>Źródło: www.bankier.pl</w:t>
      </w:r>
    </w:p>
    <w:p w14:paraId="45481DBF" w14:textId="77777777" w:rsidR="00373BEA" w:rsidRPr="0073487D" w:rsidRDefault="00373BEA" w:rsidP="0073487D">
      <w:pPr>
        <w:ind w:left="360"/>
        <w:jc w:val="both"/>
        <w:rPr>
          <w:rFonts w:asciiTheme="minorHAnsi" w:hAnsiTheme="minorHAnsi" w:cstheme="minorHAnsi"/>
          <w:b/>
          <w:u w:val="single"/>
        </w:rPr>
      </w:pPr>
    </w:p>
    <w:p w14:paraId="6F949BD0" w14:textId="77777777" w:rsidR="005C1A32" w:rsidRDefault="005C1A32" w:rsidP="0073487D">
      <w:pPr>
        <w:jc w:val="both"/>
        <w:rPr>
          <w:rFonts w:asciiTheme="minorHAnsi" w:hAnsiTheme="minorHAnsi" w:cstheme="minorHAnsi"/>
          <w:b/>
          <w:bCs/>
        </w:rPr>
      </w:pPr>
    </w:p>
    <w:p w14:paraId="7DC8F8FC" w14:textId="77777777" w:rsidR="005C1A32" w:rsidRDefault="005C1A32" w:rsidP="0073487D">
      <w:pPr>
        <w:jc w:val="both"/>
        <w:rPr>
          <w:rFonts w:asciiTheme="minorHAnsi" w:hAnsiTheme="minorHAnsi" w:cstheme="minorHAnsi"/>
          <w:b/>
          <w:bCs/>
        </w:rPr>
      </w:pPr>
    </w:p>
    <w:p w14:paraId="317D2EE8" w14:textId="77777777" w:rsidR="005C1A32" w:rsidRDefault="005C1A32" w:rsidP="0073487D">
      <w:pPr>
        <w:jc w:val="both"/>
        <w:rPr>
          <w:rFonts w:asciiTheme="minorHAnsi" w:hAnsiTheme="minorHAnsi" w:cstheme="minorHAnsi"/>
          <w:b/>
          <w:bCs/>
        </w:rPr>
      </w:pPr>
    </w:p>
    <w:p w14:paraId="234DAF3D" w14:textId="77777777" w:rsidR="005C1A32" w:rsidRDefault="005C1A32" w:rsidP="0073487D">
      <w:pPr>
        <w:jc w:val="both"/>
        <w:rPr>
          <w:rFonts w:asciiTheme="minorHAnsi" w:hAnsiTheme="minorHAnsi" w:cstheme="minorHAnsi"/>
          <w:b/>
          <w:bCs/>
        </w:rPr>
      </w:pPr>
    </w:p>
    <w:p w14:paraId="712F0AB0" w14:textId="77777777" w:rsidR="005C1A32" w:rsidRDefault="005C1A32" w:rsidP="0073487D">
      <w:pPr>
        <w:jc w:val="both"/>
        <w:rPr>
          <w:rFonts w:asciiTheme="minorHAnsi" w:hAnsiTheme="minorHAnsi" w:cstheme="minorHAnsi"/>
          <w:b/>
          <w:bCs/>
        </w:rPr>
      </w:pPr>
    </w:p>
    <w:p w14:paraId="5B255C89" w14:textId="77777777" w:rsidR="005C1A32" w:rsidRDefault="005C1A32" w:rsidP="0073487D">
      <w:pPr>
        <w:jc w:val="both"/>
        <w:rPr>
          <w:rFonts w:asciiTheme="minorHAnsi" w:hAnsiTheme="minorHAnsi" w:cstheme="minorHAnsi"/>
          <w:b/>
          <w:bCs/>
        </w:rPr>
      </w:pPr>
    </w:p>
    <w:p w14:paraId="7AA9F03D" w14:textId="34B9E8D1" w:rsidR="00373BEA" w:rsidRPr="0073487D" w:rsidRDefault="00AF22B1" w:rsidP="0073487D">
      <w:pPr>
        <w:jc w:val="both"/>
        <w:rPr>
          <w:rFonts w:asciiTheme="minorHAnsi" w:hAnsiTheme="minorHAnsi" w:cstheme="minorHAnsi"/>
          <w:b/>
          <w:u w:val="single"/>
        </w:rPr>
      </w:pPr>
      <w:r w:rsidRPr="001E75D1">
        <w:rPr>
          <w:rFonts w:asciiTheme="minorHAnsi" w:hAnsiTheme="minorHAnsi" w:cstheme="minorHAnsi"/>
          <w:b/>
          <w:bCs/>
        </w:rPr>
        <w:t>Okresowo- s</w:t>
      </w:r>
      <w:r w:rsidR="003C7EAD" w:rsidRPr="001E75D1">
        <w:rPr>
          <w:rFonts w:asciiTheme="minorHAnsi" w:hAnsiTheme="minorHAnsi" w:cstheme="minorHAnsi"/>
          <w:b/>
          <w:bCs/>
        </w:rPr>
        <w:t>tała stopa procentowa</w:t>
      </w:r>
      <w:r w:rsidR="003C7EAD" w:rsidRPr="0073487D">
        <w:rPr>
          <w:rFonts w:asciiTheme="minorHAnsi" w:hAnsiTheme="minorHAnsi" w:cstheme="minorHAnsi"/>
          <w:b/>
        </w:rPr>
        <w:t xml:space="preserve"> - </w:t>
      </w:r>
      <w:r w:rsidR="003C7EAD" w:rsidRPr="0073487D">
        <w:rPr>
          <w:rFonts w:asciiTheme="minorHAnsi" w:hAnsiTheme="minorHAnsi" w:cstheme="minorHAnsi"/>
          <w:sz w:val="18"/>
          <w:szCs w:val="18"/>
        </w:rPr>
        <w:t xml:space="preserve">stopa, według której oprocentowany jest </w:t>
      </w:r>
      <w:r w:rsidR="00577552" w:rsidRPr="0073487D">
        <w:rPr>
          <w:rFonts w:asciiTheme="minorHAnsi" w:hAnsiTheme="minorHAnsi" w:cstheme="minorHAnsi"/>
          <w:sz w:val="18"/>
          <w:szCs w:val="18"/>
        </w:rPr>
        <w:t>k</w:t>
      </w:r>
      <w:r w:rsidR="003C7EAD" w:rsidRPr="0073487D">
        <w:rPr>
          <w:rFonts w:asciiTheme="minorHAnsi" w:hAnsiTheme="minorHAnsi" w:cstheme="minorHAnsi"/>
          <w:sz w:val="18"/>
          <w:szCs w:val="18"/>
        </w:rPr>
        <w:t>redyt</w:t>
      </w:r>
      <w:r w:rsidR="00577552" w:rsidRPr="0073487D">
        <w:rPr>
          <w:rFonts w:asciiTheme="minorHAnsi" w:hAnsiTheme="minorHAnsi" w:cstheme="minorHAnsi"/>
          <w:sz w:val="18"/>
          <w:szCs w:val="18"/>
        </w:rPr>
        <w:t>,</w:t>
      </w:r>
      <w:r w:rsidR="003C7EAD" w:rsidRPr="0073487D">
        <w:rPr>
          <w:rFonts w:asciiTheme="minorHAnsi" w:hAnsiTheme="minorHAnsi" w:cstheme="minorHAnsi"/>
          <w:sz w:val="18"/>
          <w:szCs w:val="18"/>
        </w:rPr>
        <w:t xml:space="preserve"> wyrażona jako stała wartość procentowa </w:t>
      </w:r>
      <w:r w:rsidR="003C7EAD" w:rsidRPr="0073487D">
        <w:rPr>
          <w:rFonts w:asciiTheme="minorHAnsi" w:hAnsiTheme="minorHAnsi" w:cstheme="minorHAnsi"/>
          <w:sz w:val="18"/>
          <w:szCs w:val="18"/>
        </w:rPr>
        <w:br/>
        <w:t>w określonym w Umowie kredytu przedziale czasu. Zasady ustalania oprocentowania okresowo – stałego kredytu oraz dokonywania zmian oprocentowania kredytu są określone w Umowie kredytu</w:t>
      </w:r>
      <w:r w:rsidR="00577552" w:rsidRPr="0073487D">
        <w:rPr>
          <w:rFonts w:asciiTheme="minorHAnsi" w:hAnsiTheme="minorHAnsi" w:cstheme="minorHAnsi"/>
          <w:sz w:val="18"/>
          <w:szCs w:val="18"/>
        </w:rPr>
        <w:t>.</w:t>
      </w:r>
    </w:p>
    <w:p w14:paraId="64725BC7" w14:textId="77777777" w:rsidR="003C7EAD" w:rsidRPr="0073487D" w:rsidRDefault="003C7EAD" w:rsidP="0073487D">
      <w:pPr>
        <w:jc w:val="both"/>
        <w:rPr>
          <w:rFonts w:asciiTheme="minorHAnsi" w:hAnsiTheme="minorHAnsi" w:cstheme="minorHAnsi"/>
          <w:b/>
          <w:u w:val="single"/>
        </w:rPr>
      </w:pPr>
    </w:p>
    <w:p w14:paraId="1237D8CF" w14:textId="49CD0470" w:rsidR="00330188" w:rsidRPr="0073487D" w:rsidRDefault="0072062E" w:rsidP="0073487D">
      <w:pPr>
        <w:jc w:val="both"/>
        <w:rPr>
          <w:rFonts w:asciiTheme="minorHAnsi" w:hAnsiTheme="minorHAnsi" w:cstheme="minorHAnsi"/>
        </w:rPr>
      </w:pPr>
      <w:r w:rsidRPr="0073487D">
        <w:rPr>
          <w:rFonts w:asciiTheme="minorHAnsi" w:hAnsiTheme="minorHAnsi" w:cstheme="minorHAnsi"/>
        </w:rPr>
        <w:t>Stała stopa procentowa</w:t>
      </w:r>
      <w:r w:rsidR="00330188" w:rsidRPr="0073487D">
        <w:rPr>
          <w:rFonts w:asciiTheme="minorHAnsi" w:hAnsiTheme="minorHAnsi" w:cstheme="minorHAnsi"/>
        </w:rPr>
        <w:t>, która jest określona w umowie kredytu/aneksie do umowy kredytu</w:t>
      </w:r>
      <w:r w:rsidR="00577552" w:rsidRPr="0073487D">
        <w:rPr>
          <w:rFonts w:asciiTheme="minorHAnsi" w:hAnsiTheme="minorHAnsi" w:cstheme="minorHAnsi"/>
        </w:rPr>
        <w:t>,</w:t>
      </w:r>
      <w:r w:rsidR="00AF22B1" w:rsidRPr="0073487D">
        <w:rPr>
          <w:rFonts w:asciiTheme="minorHAnsi" w:hAnsiTheme="minorHAnsi" w:cstheme="minorHAnsi"/>
        </w:rPr>
        <w:t xml:space="preserve"> obowiązuje</w:t>
      </w:r>
      <w:r w:rsidRPr="0073487D">
        <w:rPr>
          <w:rFonts w:asciiTheme="minorHAnsi" w:hAnsiTheme="minorHAnsi" w:cstheme="minorHAnsi"/>
        </w:rPr>
        <w:t xml:space="preserve"> w okresie 60 miesięcy od dnia uruchomienia kredytu</w:t>
      </w:r>
      <w:r w:rsidR="00E37845" w:rsidRPr="0073487D">
        <w:rPr>
          <w:rFonts w:asciiTheme="minorHAnsi" w:hAnsiTheme="minorHAnsi" w:cstheme="minorHAnsi"/>
        </w:rPr>
        <w:t>/</w:t>
      </w:r>
      <w:r w:rsidR="00AF22B1" w:rsidRPr="0073487D">
        <w:rPr>
          <w:rFonts w:asciiTheme="minorHAnsi" w:hAnsiTheme="minorHAnsi" w:cstheme="minorHAnsi"/>
        </w:rPr>
        <w:t xml:space="preserve"> od pierwszego dnia okresu odsetkowego następującego po dniu wejścia  w życie  aneksu</w:t>
      </w:r>
      <w:r w:rsidR="003C7EAD" w:rsidRPr="0073487D">
        <w:rPr>
          <w:rFonts w:asciiTheme="minorHAnsi" w:hAnsiTheme="minorHAnsi" w:cstheme="minorHAnsi"/>
        </w:rPr>
        <w:t xml:space="preserve"> </w:t>
      </w:r>
      <w:r w:rsidR="00330188" w:rsidRPr="0073487D">
        <w:rPr>
          <w:rFonts w:asciiTheme="minorHAnsi" w:hAnsiTheme="minorHAnsi" w:cstheme="minorHAnsi"/>
        </w:rPr>
        <w:t>zmieniającego</w:t>
      </w:r>
      <w:r w:rsidR="003C7EAD" w:rsidRPr="0073487D">
        <w:rPr>
          <w:rFonts w:asciiTheme="minorHAnsi" w:hAnsiTheme="minorHAnsi" w:cstheme="minorHAnsi"/>
        </w:rPr>
        <w:t xml:space="preserve"> </w:t>
      </w:r>
      <w:r w:rsidR="00330188" w:rsidRPr="0073487D">
        <w:rPr>
          <w:rFonts w:asciiTheme="minorHAnsi" w:hAnsiTheme="minorHAnsi" w:cstheme="minorHAnsi"/>
        </w:rPr>
        <w:t>formułę</w:t>
      </w:r>
      <w:r w:rsidR="003C7EAD" w:rsidRPr="0073487D">
        <w:rPr>
          <w:rFonts w:asciiTheme="minorHAnsi" w:hAnsiTheme="minorHAnsi" w:cstheme="minorHAnsi"/>
        </w:rPr>
        <w:t xml:space="preserve"> </w:t>
      </w:r>
      <w:r w:rsidR="00330188" w:rsidRPr="0073487D">
        <w:rPr>
          <w:rFonts w:asciiTheme="minorHAnsi" w:hAnsiTheme="minorHAnsi" w:cstheme="minorHAnsi"/>
        </w:rPr>
        <w:t>oprocentowania</w:t>
      </w:r>
      <w:r w:rsidRPr="0073487D">
        <w:rPr>
          <w:rFonts w:asciiTheme="minorHAnsi" w:hAnsiTheme="minorHAnsi" w:cstheme="minorHAnsi"/>
        </w:rPr>
        <w:t>.</w:t>
      </w:r>
      <w:r w:rsidR="00330188" w:rsidRPr="0073487D">
        <w:rPr>
          <w:rFonts w:asciiTheme="minorHAnsi" w:hAnsiTheme="minorHAnsi" w:cstheme="minorHAnsi"/>
        </w:rPr>
        <w:t xml:space="preserve"> Jeżeli pierwszy dzień okresu odsetkowego następującego po dniu wejścia  w życie  aneksu przypada w dniu wolnym od pracy</w:t>
      </w:r>
      <w:r w:rsidR="001E75D1">
        <w:rPr>
          <w:rFonts w:asciiTheme="minorHAnsi" w:hAnsiTheme="minorHAnsi" w:cstheme="minorHAnsi"/>
        </w:rPr>
        <w:t>,</w:t>
      </w:r>
      <w:r w:rsidR="00330188" w:rsidRPr="0073487D">
        <w:rPr>
          <w:rFonts w:asciiTheme="minorHAnsi" w:hAnsiTheme="minorHAnsi" w:cstheme="minorHAnsi"/>
        </w:rPr>
        <w:t xml:space="preserve"> okres obowiązywania oprocentowania stałego rozpoczyna się w pierwszym dniu roboczym po tym dniu.</w:t>
      </w:r>
    </w:p>
    <w:p w14:paraId="6F89EB46" w14:textId="77777777" w:rsidR="00700E7F" w:rsidRPr="0073487D" w:rsidRDefault="00700E7F" w:rsidP="0073487D">
      <w:pPr>
        <w:jc w:val="both"/>
        <w:rPr>
          <w:rFonts w:asciiTheme="minorHAnsi" w:hAnsiTheme="minorHAnsi" w:cstheme="minorHAnsi"/>
        </w:rPr>
      </w:pPr>
    </w:p>
    <w:p w14:paraId="522BE994" w14:textId="61D51494" w:rsidR="00AF22B1" w:rsidRPr="0073487D" w:rsidRDefault="00700E7F" w:rsidP="0073487D">
      <w:pPr>
        <w:jc w:val="both"/>
        <w:rPr>
          <w:rFonts w:asciiTheme="minorHAnsi" w:hAnsiTheme="minorHAnsi" w:cstheme="minorHAnsi"/>
        </w:rPr>
      </w:pPr>
      <w:r w:rsidRPr="0073487D">
        <w:rPr>
          <w:rFonts w:asciiTheme="minorHAnsi" w:hAnsiTheme="minorHAnsi" w:cstheme="minorHAnsi"/>
        </w:rPr>
        <w:t>W przypadku kiedy posiadają Państwo kredyt w formule oprocentowania okresowo stałego, w</w:t>
      </w:r>
      <w:r w:rsidR="00BB4AC3" w:rsidRPr="0073487D">
        <w:rPr>
          <w:rFonts w:asciiTheme="minorHAnsi" w:hAnsiTheme="minorHAnsi" w:cstheme="minorHAnsi"/>
        </w:rPr>
        <w:t xml:space="preserve"> miesiącu odsetkowym, w którym ma nastąpić zmiana formuły oprocentowania </w:t>
      </w:r>
      <w:r w:rsidR="00AF22B1" w:rsidRPr="0073487D">
        <w:rPr>
          <w:rFonts w:asciiTheme="minorHAnsi" w:hAnsiTheme="minorHAnsi" w:cstheme="minorHAnsi"/>
        </w:rPr>
        <w:t>nie ma</w:t>
      </w:r>
      <w:r w:rsidRPr="0073487D">
        <w:rPr>
          <w:rFonts w:asciiTheme="minorHAnsi" w:hAnsiTheme="minorHAnsi" w:cstheme="minorHAnsi"/>
        </w:rPr>
        <w:t>cie Państwo</w:t>
      </w:r>
      <w:r w:rsidR="00AF22B1" w:rsidRPr="0073487D">
        <w:rPr>
          <w:rFonts w:asciiTheme="minorHAnsi" w:hAnsiTheme="minorHAnsi" w:cstheme="minorHAnsi"/>
        </w:rPr>
        <w:t xml:space="preserve"> możliwości dokonywania zmian mających wpływ na zmianę harmonogramu Umowy kredytu, takich jak:</w:t>
      </w:r>
    </w:p>
    <w:p w14:paraId="79ACAA6E" w14:textId="77777777" w:rsidR="00AF22B1" w:rsidRPr="0073487D" w:rsidRDefault="00AF22B1" w:rsidP="0073487D">
      <w:pPr>
        <w:jc w:val="both"/>
        <w:rPr>
          <w:rFonts w:asciiTheme="minorHAnsi" w:hAnsiTheme="minorHAnsi" w:cstheme="minorHAnsi"/>
        </w:rPr>
      </w:pPr>
      <w:r w:rsidRPr="0073487D">
        <w:rPr>
          <w:rFonts w:asciiTheme="minorHAnsi" w:hAnsiTheme="minorHAnsi" w:cstheme="minorHAnsi"/>
        </w:rPr>
        <w:t>1)</w:t>
      </w:r>
      <w:r w:rsidRPr="0073487D">
        <w:rPr>
          <w:rFonts w:asciiTheme="minorHAnsi" w:hAnsiTheme="minorHAnsi" w:cstheme="minorHAnsi"/>
        </w:rPr>
        <w:tab/>
        <w:t>skorzystanie z wakacji kredytowych;</w:t>
      </w:r>
    </w:p>
    <w:p w14:paraId="70132BBA" w14:textId="77777777" w:rsidR="00AF22B1" w:rsidRPr="0073487D" w:rsidRDefault="00AF22B1" w:rsidP="0073487D">
      <w:pPr>
        <w:jc w:val="both"/>
        <w:rPr>
          <w:rFonts w:asciiTheme="minorHAnsi" w:hAnsiTheme="minorHAnsi" w:cstheme="minorHAnsi"/>
        </w:rPr>
      </w:pPr>
      <w:r w:rsidRPr="0073487D">
        <w:rPr>
          <w:rFonts w:asciiTheme="minorHAnsi" w:hAnsiTheme="minorHAnsi" w:cstheme="minorHAnsi"/>
        </w:rPr>
        <w:t>2)</w:t>
      </w:r>
      <w:r w:rsidRPr="0073487D">
        <w:rPr>
          <w:rFonts w:asciiTheme="minorHAnsi" w:hAnsiTheme="minorHAnsi" w:cstheme="minorHAnsi"/>
        </w:rPr>
        <w:tab/>
        <w:t xml:space="preserve">zmiana terminu daty spłat rat kredytu w danym miesiącu kalendarzowym; </w:t>
      </w:r>
    </w:p>
    <w:p w14:paraId="2A8182D2" w14:textId="77777777" w:rsidR="00AF22B1" w:rsidRPr="0073487D" w:rsidRDefault="00AF22B1" w:rsidP="0073487D">
      <w:pPr>
        <w:jc w:val="both"/>
        <w:rPr>
          <w:rFonts w:asciiTheme="minorHAnsi" w:hAnsiTheme="minorHAnsi" w:cstheme="minorHAnsi"/>
        </w:rPr>
      </w:pPr>
      <w:r w:rsidRPr="0073487D">
        <w:rPr>
          <w:rFonts w:asciiTheme="minorHAnsi" w:hAnsiTheme="minorHAnsi" w:cstheme="minorHAnsi"/>
        </w:rPr>
        <w:t>3)</w:t>
      </w:r>
      <w:r w:rsidRPr="0073487D">
        <w:rPr>
          <w:rFonts w:asciiTheme="minorHAnsi" w:hAnsiTheme="minorHAnsi" w:cstheme="minorHAnsi"/>
        </w:rPr>
        <w:tab/>
        <w:t xml:space="preserve">zmiana metody spłat rat kredytu: </w:t>
      </w:r>
    </w:p>
    <w:p w14:paraId="45847CB1" w14:textId="5F6C834F" w:rsidR="0045029D" w:rsidRPr="0073487D" w:rsidRDefault="00AF22B1" w:rsidP="0073487D">
      <w:pPr>
        <w:numPr>
          <w:ilvl w:val="0"/>
          <w:numId w:val="15"/>
        </w:numPr>
        <w:jc w:val="both"/>
        <w:rPr>
          <w:rFonts w:asciiTheme="minorHAnsi" w:hAnsiTheme="minorHAnsi" w:cstheme="minorHAnsi"/>
        </w:rPr>
      </w:pPr>
      <w:r w:rsidRPr="0073487D">
        <w:rPr>
          <w:rFonts w:asciiTheme="minorHAnsi" w:hAnsiTheme="minorHAnsi" w:cstheme="minorHAnsi"/>
        </w:rPr>
        <w:t>z rat stałych (annuitetowych) na raty malejące;</w:t>
      </w:r>
    </w:p>
    <w:p w14:paraId="06B07A4E" w14:textId="4BA70C30" w:rsidR="00AF22B1" w:rsidRPr="0073487D" w:rsidRDefault="00AF22B1" w:rsidP="0073487D">
      <w:pPr>
        <w:numPr>
          <w:ilvl w:val="0"/>
          <w:numId w:val="15"/>
        </w:numPr>
        <w:jc w:val="both"/>
        <w:rPr>
          <w:rFonts w:asciiTheme="minorHAnsi" w:hAnsiTheme="minorHAnsi" w:cstheme="minorHAnsi"/>
        </w:rPr>
      </w:pPr>
      <w:r w:rsidRPr="0073487D">
        <w:rPr>
          <w:rFonts w:asciiTheme="minorHAnsi" w:hAnsiTheme="minorHAnsi" w:cstheme="minorHAnsi"/>
        </w:rPr>
        <w:t>z rat malejących na raty stałe – annuitetowe.</w:t>
      </w:r>
    </w:p>
    <w:p w14:paraId="628B6F11" w14:textId="6D6D15B7" w:rsidR="00700E7F" w:rsidRPr="0073487D" w:rsidRDefault="00700E7F" w:rsidP="0073487D">
      <w:pPr>
        <w:jc w:val="both"/>
        <w:rPr>
          <w:rFonts w:asciiTheme="minorHAnsi" w:hAnsiTheme="minorHAnsi" w:cstheme="minorHAnsi"/>
        </w:rPr>
      </w:pPr>
    </w:p>
    <w:p w14:paraId="0C0E79B6" w14:textId="77777777" w:rsidR="00700E7F" w:rsidRPr="0073487D" w:rsidRDefault="00700E7F" w:rsidP="0073487D">
      <w:pPr>
        <w:jc w:val="both"/>
        <w:rPr>
          <w:rFonts w:asciiTheme="minorHAnsi" w:hAnsiTheme="minorHAnsi" w:cstheme="minorHAnsi"/>
        </w:rPr>
      </w:pPr>
      <w:r w:rsidRPr="0073487D">
        <w:rPr>
          <w:rFonts w:asciiTheme="minorHAnsi" w:hAnsiTheme="minorHAnsi" w:cstheme="minorHAnsi"/>
        </w:rPr>
        <w:t xml:space="preserve">W dalszym okresie kredytowania obowiązuje zmienna stopa procentowa, która stanowi sumę marży określonej w umowie kredytu i wskaźnika referencyjnego i są Państwo narażeni na ryzyko stopy procentowej, jak przy oprocentowaniu zmiennym.  </w:t>
      </w:r>
    </w:p>
    <w:p w14:paraId="225FE6E1" w14:textId="77777777" w:rsidR="00700E7F" w:rsidRPr="0073487D" w:rsidRDefault="00700E7F" w:rsidP="0073487D">
      <w:pPr>
        <w:jc w:val="both"/>
        <w:rPr>
          <w:rFonts w:asciiTheme="minorHAnsi" w:hAnsiTheme="minorHAnsi" w:cstheme="minorHAnsi"/>
        </w:rPr>
      </w:pPr>
    </w:p>
    <w:p w14:paraId="0CE70598" w14:textId="383A10FD" w:rsidR="00700E7F" w:rsidRPr="0073487D" w:rsidRDefault="00700E7F" w:rsidP="0073487D">
      <w:pPr>
        <w:jc w:val="both"/>
        <w:rPr>
          <w:rFonts w:asciiTheme="minorHAnsi" w:hAnsiTheme="minorHAnsi" w:cstheme="minorHAnsi"/>
        </w:rPr>
      </w:pPr>
      <w:r w:rsidRPr="0073487D">
        <w:rPr>
          <w:rFonts w:asciiTheme="minorHAnsi" w:hAnsiTheme="minorHAnsi" w:cstheme="minorHAnsi"/>
        </w:rPr>
        <w:t>Mogą Państwo kontynuować oprocentowanie w formule okresowo – stałej w kolejnym 60 miesięcznym okresie. W tym celu powinniście Państwo złożyć wniosek o kontynuację oprocentowania. Taki wniosek należy złożyć przed zakończeniem trwającego 60-miesiecznego okresu obowiązywania oprocentowania o okresowo – stałej stopie procentowej. Po jego pozytywnym rozpatrzeniu podpisujemy z Państwem aneks do Umowy kredytu.</w:t>
      </w:r>
    </w:p>
    <w:p w14:paraId="5E249880" w14:textId="3CFB5FE2" w:rsidR="00700E7F" w:rsidRPr="0073487D" w:rsidRDefault="00700E7F" w:rsidP="0073487D">
      <w:pPr>
        <w:jc w:val="both"/>
        <w:rPr>
          <w:rFonts w:asciiTheme="minorHAnsi" w:hAnsiTheme="minorHAnsi" w:cstheme="minorHAnsi"/>
        </w:rPr>
      </w:pPr>
    </w:p>
    <w:p w14:paraId="0D1EAEA1" w14:textId="7A0FD7D2" w:rsidR="000E51E3" w:rsidRPr="0073487D" w:rsidRDefault="002F5F5F" w:rsidP="0073487D">
      <w:pPr>
        <w:ind w:left="360"/>
        <w:jc w:val="both"/>
        <w:rPr>
          <w:rFonts w:asciiTheme="minorHAnsi" w:hAnsiTheme="minorHAnsi" w:cstheme="minorHAnsi"/>
          <w:b/>
          <w:u w:val="single"/>
        </w:rPr>
      </w:pPr>
      <w:r w:rsidRPr="0073487D">
        <w:rPr>
          <w:rFonts w:asciiTheme="minorHAnsi" w:hAnsiTheme="minorHAnsi" w:cstheme="minorHAnsi"/>
          <w:b/>
          <w:noProof/>
          <w:u w:val="single"/>
        </w:rPr>
        <mc:AlternateContent>
          <mc:Choice Requires="wps">
            <w:drawing>
              <wp:anchor distT="0" distB="0" distL="114300" distR="114300" simplePos="0" relativeHeight="251657216" behindDoc="0" locked="0" layoutInCell="1" allowOverlap="1" wp14:anchorId="29EC1BDF" wp14:editId="28A91824">
                <wp:simplePos x="0" y="0"/>
                <wp:positionH relativeFrom="column">
                  <wp:posOffset>-61595</wp:posOffset>
                </wp:positionH>
                <wp:positionV relativeFrom="paragraph">
                  <wp:posOffset>2540</wp:posOffset>
                </wp:positionV>
                <wp:extent cx="6527800" cy="199390"/>
                <wp:effectExtent l="0" t="0" r="6350" b="0"/>
                <wp:wrapNone/>
                <wp:docPr id="1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199390"/>
                        </a:xfrm>
                        <a:prstGeom prst="rect">
                          <a:avLst/>
                        </a:prstGeom>
                        <a:solidFill>
                          <a:srgbClr val="00926C"/>
                        </a:solidFill>
                        <a:ln w="9525">
                          <a:solidFill>
                            <a:srgbClr val="000000"/>
                          </a:solidFill>
                          <a:miter lim="800000"/>
                          <a:headEnd/>
                          <a:tailEnd/>
                        </a:ln>
                      </wps:spPr>
                      <wps:txbx>
                        <w:txbxContent>
                          <w:p w14:paraId="2CBB1252" w14:textId="77777777" w:rsidR="000E51E3" w:rsidRPr="00FE7EA3" w:rsidRDefault="001B4D72" w:rsidP="000E51E3">
                            <w:pPr>
                              <w:rPr>
                                <w:rFonts w:asciiTheme="minorHAnsi" w:hAnsiTheme="minorHAnsi" w:cstheme="minorHAnsi"/>
                                <w:b/>
                                <w:color w:val="FFFFFF"/>
                                <w:sz w:val="18"/>
                              </w:rPr>
                            </w:pPr>
                            <w:r w:rsidRPr="00FE7EA3">
                              <w:rPr>
                                <w:rFonts w:asciiTheme="minorHAnsi" w:hAnsiTheme="minorHAnsi" w:cstheme="minorHAnsi"/>
                                <w:b/>
                                <w:color w:val="FFFFFF"/>
                                <w:sz w:val="18"/>
                              </w:rPr>
                              <w:t xml:space="preserve">CO TO JEST </w:t>
                            </w:r>
                            <w:r w:rsidR="000E51E3" w:rsidRPr="00FE7EA3">
                              <w:rPr>
                                <w:rFonts w:asciiTheme="minorHAnsi" w:hAnsiTheme="minorHAnsi" w:cstheme="minorHAnsi"/>
                                <w:b/>
                                <w:color w:val="FFFFFF"/>
                                <w:sz w:val="18"/>
                              </w:rPr>
                              <w:t>RYZYKO NADMIERNEGO ZADŁUŻENIA</w:t>
                            </w:r>
                            <w:r w:rsidRPr="00FE7EA3">
                              <w:rPr>
                                <w:rFonts w:asciiTheme="minorHAnsi" w:hAnsiTheme="minorHAnsi" w:cstheme="minorHAnsi"/>
                                <w:b/>
                                <w:color w:val="FFFFFF"/>
                                <w:sz w:val="18"/>
                              </w:rPr>
                              <w:t xml:space="preserve"> ?</w:t>
                            </w:r>
                          </w:p>
                          <w:p w14:paraId="1FBAA132" w14:textId="77777777" w:rsidR="000E51E3" w:rsidRPr="00DD1C16" w:rsidRDefault="000E51E3" w:rsidP="000E51E3">
                            <w:pPr>
                              <w:rPr>
                                <w:b/>
                                <w:color w:val="FFFFFF"/>
                                <w:sz w:val="18"/>
                              </w:rPr>
                            </w:pPr>
                          </w:p>
                          <w:p w14:paraId="55C6B7A1" w14:textId="77777777" w:rsidR="000E51E3" w:rsidRPr="00DD1C16" w:rsidRDefault="000E51E3" w:rsidP="000E51E3">
                            <w:pPr>
                              <w:rPr>
                                <w:b/>
                                <w:color w:val="FFFFFF"/>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C1BDF" id="_x0000_s1029" style="position:absolute;left:0;text-align:left;margin-left:-4.85pt;margin-top:.2pt;width:514pt;height:1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" fillcolor="#00926c">
                <v:textbox inset=",0,,0">
                  <w:txbxContent>
                    <w:p w14:paraId="2CBB1252" w14:textId="77777777" w:rsidR="000E51E3" w:rsidRPr="00FE7EA3" w:rsidRDefault="001B4D72" w:rsidP="000E51E3">
                      <w:pPr>
                        <w:rPr>
                          <w:rFonts w:asciiTheme="minorHAnsi" w:hAnsiTheme="minorHAnsi" w:cstheme="minorHAnsi"/>
                          <w:b/>
                          <w:color w:val="FFFFFF"/>
                          <w:sz w:val="18"/>
                        </w:rPr>
                      </w:pPr>
                      <w:r w:rsidRPr="00FE7EA3">
                        <w:rPr>
                          <w:rFonts w:asciiTheme="minorHAnsi" w:hAnsiTheme="minorHAnsi" w:cstheme="minorHAnsi"/>
                          <w:b/>
                          <w:color w:val="FFFFFF"/>
                          <w:sz w:val="18"/>
                        </w:rPr>
                        <w:t xml:space="preserve">CO TO JEST </w:t>
                      </w:r>
                      <w:r w:rsidR="000E51E3" w:rsidRPr="00FE7EA3">
                        <w:rPr>
                          <w:rFonts w:asciiTheme="minorHAnsi" w:hAnsiTheme="minorHAnsi" w:cstheme="minorHAnsi"/>
                          <w:b/>
                          <w:color w:val="FFFFFF"/>
                          <w:sz w:val="18"/>
                        </w:rPr>
                        <w:t>RYZYKO NADMIERNEGO ZADŁUŻENIA</w:t>
                      </w:r>
                      <w:r w:rsidRPr="00FE7EA3">
                        <w:rPr>
                          <w:rFonts w:asciiTheme="minorHAnsi" w:hAnsiTheme="minorHAnsi" w:cstheme="minorHAnsi"/>
                          <w:b/>
                          <w:color w:val="FFFFFF"/>
                          <w:sz w:val="18"/>
                        </w:rPr>
                        <w:t xml:space="preserve"> ?</w:t>
                      </w:r>
                    </w:p>
                    <w:p w14:paraId="1FBAA132" w14:textId="77777777" w:rsidR="000E51E3" w:rsidRPr="00DD1C16" w:rsidRDefault="000E51E3" w:rsidP="000E51E3">
                      <w:pPr>
                        <w:rPr>
                          <w:b/>
                          <w:color w:val="FFFFFF"/>
                          <w:sz w:val="18"/>
                        </w:rPr>
                      </w:pPr>
                    </w:p>
                    <w:p w14:paraId="55C6B7A1" w14:textId="77777777" w:rsidR="000E51E3" w:rsidRPr="00DD1C16" w:rsidRDefault="000E51E3" w:rsidP="000E51E3">
                      <w:pPr>
                        <w:rPr>
                          <w:b/>
                          <w:color w:val="FFFFFF"/>
                          <w:sz w:val="18"/>
                        </w:rPr>
                      </w:pPr>
                    </w:p>
                  </w:txbxContent>
                </v:textbox>
              </v:rect>
            </w:pict>
          </mc:Fallback>
        </mc:AlternateContent>
      </w:r>
    </w:p>
    <w:p w14:paraId="6D1E14D4" w14:textId="77777777" w:rsidR="000E51E3" w:rsidRPr="0073487D" w:rsidRDefault="000E51E3" w:rsidP="0073487D">
      <w:pPr>
        <w:jc w:val="both"/>
        <w:rPr>
          <w:rFonts w:asciiTheme="minorHAnsi" w:hAnsiTheme="minorHAnsi" w:cstheme="minorHAnsi"/>
          <w:b/>
          <w:u w:val="single"/>
        </w:rPr>
      </w:pPr>
    </w:p>
    <w:p w14:paraId="67F0B507" w14:textId="77777777" w:rsidR="00A41B2E" w:rsidRPr="0073487D" w:rsidRDefault="00A41B2E" w:rsidP="0073487D">
      <w:pPr>
        <w:jc w:val="both"/>
        <w:rPr>
          <w:rFonts w:asciiTheme="minorHAnsi" w:hAnsiTheme="minorHAnsi" w:cstheme="minorHAnsi"/>
        </w:rPr>
      </w:pPr>
      <w:r w:rsidRPr="0073487D">
        <w:rPr>
          <w:rFonts w:asciiTheme="minorHAnsi" w:hAnsiTheme="minorHAnsi" w:cstheme="minorHAnsi"/>
        </w:rPr>
        <w:t xml:space="preserve">Ryzyko nadmiernego zadłużenia – to sytuacja, w której Kredytobiorca traci zdolność do spłaty swoich zobowiązań.  Charakteryzuje  się  ona  </w:t>
      </w:r>
      <w:r w:rsidR="008A3BC8" w:rsidRPr="0073487D">
        <w:rPr>
          <w:rFonts w:asciiTheme="minorHAnsi" w:hAnsiTheme="minorHAnsi" w:cstheme="minorHAnsi"/>
        </w:rPr>
        <w:t>nadwyżką</w:t>
      </w:r>
      <w:r w:rsidRPr="0073487D">
        <w:rPr>
          <w:rFonts w:asciiTheme="minorHAnsi" w:hAnsiTheme="minorHAnsi" w:cstheme="minorHAnsi"/>
        </w:rPr>
        <w:t xml:space="preserve">  bieżących  i  przyszłych  obciążeń</w:t>
      </w:r>
      <w:r w:rsidR="00C140C0" w:rsidRPr="0073487D">
        <w:rPr>
          <w:rFonts w:asciiTheme="minorHAnsi" w:hAnsiTheme="minorHAnsi" w:cstheme="minorHAnsi"/>
        </w:rPr>
        <w:t xml:space="preserve"> </w:t>
      </w:r>
      <w:r w:rsidRPr="0073487D">
        <w:rPr>
          <w:rFonts w:asciiTheme="minorHAnsi" w:hAnsiTheme="minorHAnsi" w:cstheme="minorHAnsi"/>
        </w:rPr>
        <w:t xml:space="preserve">finansowych Kredytobiorcy nad jego </w:t>
      </w:r>
      <w:r w:rsidR="003A3A13" w:rsidRPr="0073487D">
        <w:rPr>
          <w:rFonts w:asciiTheme="minorHAnsi" w:hAnsiTheme="minorHAnsi" w:cstheme="minorHAnsi"/>
        </w:rPr>
        <w:t>dochodami</w:t>
      </w:r>
      <w:r w:rsidRPr="0073487D">
        <w:rPr>
          <w:rFonts w:asciiTheme="minorHAnsi" w:hAnsiTheme="minorHAnsi" w:cstheme="minorHAnsi"/>
        </w:rPr>
        <w:t xml:space="preserve"> oraz niedoborem wolnych środków, które mogłyby zostać przeznaczone na spłatę </w:t>
      </w:r>
      <w:r w:rsidR="003A3A13" w:rsidRPr="0073487D">
        <w:rPr>
          <w:rFonts w:asciiTheme="minorHAnsi" w:hAnsiTheme="minorHAnsi" w:cstheme="minorHAnsi"/>
        </w:rPr>
        <w:t>jego zobowiązań</w:t>
      </w:r>
      <w:r w:rsidR="00F55A72" w:rsidRPr="0073487D">
        <w:rPr>
          <w:rFonts w:asciiTheme="minorHAnsi" w:hAnsiTheme="minorHAnsi" w:cstheme="minorHAnsi"/>
        </w:rPr>
        <w:t>.</w:t>
      </w:r>
    </w:p>
    <w:p w14:paraId="185DB2B3" w14:textId="77777777" w:rsidR="00C140C0" w:rsidRPr="0073487D" w:rsidRDefault="00C140C0" w:rsidP="0073487D">
      <w:pPr>
        <w:ind w:left="360"/>
        <w:jc w:val="both"/>
        <w:rPr>
          <w:rFonts w:asciiTheme="minorHAnsi" w:hAnsiTheme="minorHAnsi" w:cstheme="minorHAnsi"/>
        </w:rPr>
      </w:pPr>
    </w:p>
    <w:p w14:paraId="5D9D38BE" w14:textId="4798D015" w:rsidR="00C140C0" w:rsidRPr="0073487D" w:rsidRDefault="00C140C0" w:rsidP="0073487D">
      <w:pPr>
        <w:jc w:val="both"/>
        <w:rPr>
          <w:rFonts w:asciiTheme="minorHAnsi" w:hAnsiTheme="minorHAnsi" w:cstheme="minorHAnsi"/>
        </w:rPr>
      </w:pPr>
      <w:r w:rsidRPr="0073487D">
        <w:rPr>
          <w:rFonts w:asciiTheme="minorHAnsi" w:hAnsiTheme="minorHAnsi" w:cstheme="minorHAnsi"/>
        </w:rPr>
        <w:t xml:space="preserve">Bardzo długi okres spłaty zobowiązania, jakim jest kredyt hipoteczny, wymaga od Państwa  zachowania odpowiedniego bufora dochodowego na wypadek pogorszenia </w:t>
      </w:r>
      <w:r w:rsidR="00293A07">
        <w:rPr>
          <w:rFonts w:asciiTheme="minorHAnsi" w:hAnsiTheme="minorHAnsi" w:cstheme="minorHAnsi"/>
        </w:rPr>
        <w:t>Państwa</w:t>
      </w:r>
      <w:r w:rsidRPr="0073487D">
        <w:rPr>
          <w:rFonts w:asciiTheme="minorHAnsi" w:hAnsiTheme="minorHAnsi" w:cstheme="minorHAnsi"/>
        </w:rPr>
        <w:t xml:space="preserve"> sytuacji dochodowej lub realizacji większych wydatków. Dotyczy to </w:t>
      </w:r>
      <w:r w:rsidR="008A0E7D" w:rsidRPr="0073487D">
        <w:rPr>
          <w:rFonts w:asciiTheme="minorHAnsi" w:hAnsiTheme="minorHAnsi" w:cstheme="minorHAnsi"/>
        </w:rPr>
        <w:br/>
      </w:r>
      <w:r w:rsidRPr="0073487D">
        <w:rPr>
          <w:rFonts w:asciiTheme="minorHAnsi" w:hAnsiTheme="minorHAnsi" w:cstheme="minorHAnsi"/>
        </w:rPr>
        <w:t>w szczególności tych z Państwa, których dochody  nie przekraczają  przeciętnego  poziomu wynagrodzeń  w  gospodarce  lub  danym  regionie  zamieszkania</w:t>
      </w:r>
      <w:r w:rsidR="00B75B3A" w:rsidRPr="0073487D">
        <w:rPr>
          <w:rFonts w:asciiTheme="minorHAnsi" w:hAnsiTheme="minorHAnsi" w:cstheme="minorHAnsi"/>
        </w:rPr>
        <w:t>,</w:t>
      </w:r>
      <w:r w:rsidRPr="0073487D">
        <w:rPr>
          <w:rFonts w:asciiTheme="minorHAnsi" w:hAnsiTheme="minorHAnsi" w:cstheme="minorHAnsi"/>
        </w:rPr>
        <w:t xml:space="preserve">  dla  których  wstępna analiza wniosków kredytowych wskazuje na przekroczenie przez wskaźnik </w:t>
      </w:r>
      <w:proofErr w:type="spellStart"/>
      <w:r w:rsidRPr="0073487D">
        <w:rPr>
          <w:rFonts w:asciiTheme="minorHAnsi" w:hAnsiTheme="minorHAnsi" w:cstheme="minorHAnsi"/>
        </w:rPr>
        <w:t>DStI</w:t>
      </w:r>
      <w:proofErr w:type="spellEnd"/>
      <w:r w:rsidRPr="0073487D">
        <w:rPr>
          <w:rFonts w:asciiTheme="minorHAnsi" w:hAnsiTheme="minorHAnsi" w:cstheme="minorHAnsi"/>
        </w:rPr>
        <w:t xml:space="preserve"> 40% lub w przypadku przekroczenia przez wskaźnik </w:t>
      </w:r>
      <w:proofErr w:type="spellStart"/>
      <w:r w:rsidRPr="0073487D">
        <w:rPr>
          <w:rFonts w:asciiTheme="minorHAnsi" w:hAnsiTheme="minorHAnsi" w:cstheme="minorHAnsi"/>
        </w:rPr>
        <w:t>DStI</w:t>
      </w:r>
      <w:proofErr w:type="spellEnd"/>
      <w:r w:rsidRPr="0073487D">
        <w:rPr>
          <w:rFonts w:asciiTheme="minorHAnsi" w:hAnsiTheme="minorHAnsi" w:cstheme="minorHAnsi"/>
        </w:rPr>
        <w:t xml:space="preserve"> 50% dla pozostałych klientów.</w:t>
      </w:r>
    </w:p>
    <w:p w14:paraId="7396C84E" w14:textId="77777777" w:rsidR="00CC06CD" w:rsidRPr="0073487D" w:rsidRDefault="00CC06CD" w:rsidP="0073487D">
      <w:pPr>
        <w:ind w:left="360"/>
        <w:jc w:val="both"/>
        <w:rPr>
          <w:rFonts w:asciiTheme="minorHAnsi" w:hAnsiTheme="minorHAnsi" w:cstheme="minorHAnsi"/>
        </w:rPr>
      </w:pPr>
    </w:p>
    <w:p w14:paraId="7A8F5F21" w14:textId="60F65087" w:rsidR="00CC06CD" w:rsidRPr="0073487D" w:rsidRDefault="00CC06CD" w:rsidP="0073487D">
      <w:pPr>
        <w:jc w:val="both"/>
        <w:rPr>
          <w:rFonts w:asciiTheme="minorHAnsi" w:hAnsiTheme="minorHAnsi" w:cstheme="minorHAnsi"/>
        </w:rPr>
      </w:pPr>
      <w:r w:rsidRPr="0073487D">
        <w:rPr>
          <w:rFonts w:asciiTheme="minorHAnsi" w:hAnsiTheme="minorHAnsi" w:cstheme="minorHAnsi"/>
        </w:rPr>
        <w:t xml:space="preserve">W przypadku, kiedy </w:t>
      </w:r>
      <w:r w:rsidR="008A0E7D" w:rsidRPr="0073487D">
        <w:rPr>
          <w:rFonts w:asciiTheme="minorHAnsi" w:hAnsiTheme="minorHAnsi" w:cstheme="minorHAnsi"/>
        </w:rPr>
        <w:t xml:space="preserve">stosunek całkowitych rocznych kosztów związanych z obsługą zobowiązań kredytowych i zobowiązań finansowych innych niż zobowiązania kredytowe (z których klient detaliczny nie może się wycofać, tj. wynikających m.in. z przepisów prawa lub mających charakter trwały i nieodwołalny) do całkowitego rocznego dochodu </w:t>
      </w:r>
      <w:r w:rsidRPr="0073487D">
        <w:rPr>
          <w:rFonts w:asciiTheme="minorHAnsi" w:hAnsiTheme="minorHAnsi" w:cstheme="minorHAnsi"/>
        </w:rPr>
        <w:t>Kredytobiorcy przekracza 40% oraz</w:t>
      </w:r>
      <w:r w:rsidR="008A3BC8" w:rsidRPr="0073487D">
        <w:rPr>
          <w:rFonts w:asciiTheme="minorHAnsi" w:hAnsiTheme="minorHAnsi" w:cstheme="minorHAnsi"/>
        </w:rPr>
        <w:t xml:space="preserve"> Kredytobiorca u</w:t>
      </w:r>
      <w:r w:rsidRPr="0073487D">
        <w:rPr>
          <w:rFonts w:asciiTheme="minorHAnsi" w:hAnsiTheme="minorHAnsi" w:cstheme="minorHAnsi"/>
        </w:rPr>
        <w:t>biega</w:t>
      </w:r>
      <w:r w:rsidR="00D326D9" w:rsidRPr="0073487D">
        <w:rPr>
          <w:rFonts w:asciiTheme="minorHAnsi" w:hAnsiTheme="minorHAnsi" w:cstheme="minorHAnsi"/>
        </w:rPr>
        <w:t xml:space="preserve"> </w:t>
      </w:r>
      <w:r w:rsidRPr="0073487D">
        <w:rPr>
          <w:rFonts w:asciiTheme="minorHAnsi" w:hAnsiTheme="minorHAnsi" w:cstheme="minorHAnsi"/>
        </w:rPr>
        <w:t>się</w:t>
      </w:r>
      <w:r w:rsidR="00F55A72" w:rsidRPr="0073487D">
        <w:rPr>
          <w:rFonts w:asciiTheme="minorHAnsi" w:hAnsiTheme="minorHAnsi" w:cstheme="minorHAnsi"/>
        </w:rPr>
        <w:t xml:space="preserve"> </w:t>
      </w:r>
      <w:r w:rsidRPr="0073487D">
        <w:rPr>
          <w:rFonts w:asciiTheme="minorHAnsi" w:hAnsiTheme="minorHAnsi" w:cstheme="minorHAnsi"/>
        </w:rPr>
        <w:t>o kredyt zabezpieczony hipotecznie na okres dłuższy niż 25 lat,</w:t>
      </w:r>
      <w:r w:rsidR="008A3BC8" w:rsidRPr="0073487D">
        <w:rPr>
          <w:rFonts w:asciiTheme="minorHAnsi" w:hAnsiTheme="minorHAnsi" w:cstheme="minorHAnsi"/>
        </w:rPr>
        <w:t xml:space="preserve"> to długi okres spłaty kredytu oraz podwyższone przez ten czas wydatki </w:t>
      </w:r>
      <w:r w:rsidR="00316EA1" w:rsidRPr="0073487D">
        <w:rPr>
          <w:rFonts w:asciiTheme="minorHAnsi" w:hAnsiTheme="minorHAnsi" w:cstheme="minorHAnsi"/>
        </w:rPr>
        <w:t>zwiększają ryzyko wystąpienia sytuacji nadwyżki wydatków nad dochodami. R</w:t>
      </w:r>
      <w:r w:rsidRPr="0073487D">
        <w:rPr>
          <w:rFonts w:asciiTheme="minorHAnsi" w:hAnsiTheme="minorHAnsi" w:cstheme="minorHAnsi"/>
        </w:rPr>
        <w:t xml:space="preserve">odzi </w:t>
      </w:r>
      <w:r w:rsidR="00316EA1" w:rsidRPr="0073487D">
        <w:rPr>
          <w:rFonts w:asciiTheme="minorHAnsi" w:hAnsiTheme="minorHAnsi" w:cstheme="minorHAnsi"/>
        </w:rPr>
        <w:t xml:space="preserve">to </w:t>
      </w:r>
      <w:r w:rsidRPr="0073487D">
        <w:rPr>
          <w:rFonts w:asciiTheme="minorHAnsi" w:hAnsiTheme="minorHAnsi" w:cstheme="minorHAnsi"/>
        </w:rPr>
        <w:t xml:space="preserve">po stronie Kredytobiorcy konieczność </w:t>
      </w:r>
      <w:r w:rsidR="00316EA1" w:rsidRPr="0073487D">
        <w:rPr>
          <w:rFonts w:asciiTheme="minorHAnsi" w:hAnsiTheme="minorHAnsi" w:cstheme="minorHAnsi"/>
        </w:rPr>
        <w:t xml:space="preserve">dokładnego planowania wydatków oraz w miarę możliwości gromadzenia środków, które będą stanowiły margines bezpieczeństwa w przypadku </w:t>
      </w:r>
      <w:r w:rsidRPr="0073487D">
        <w:rPr>
          <w:rFonts w:asciiTheme="minorHAnsi" w:hAnsiTheme="minorHAnsi" w:cstheme="minorHAnsi"/>
        </w:rPr>
        <w:t xml:space="preserve">pogorszenia się sytuacji dochodowej Kredytobiorcy lub konieczności </w:t>
      </w:r>
      <w:r w:rsidR="00316EA1" w:rsidRPr="0073487D">
        <w:rPr>
          <w:rFonts w:asciiTheme="minorHAnsi" w:hAnsiTheme="minorHAnsi" w:cstheme="minorHAnsi"/>
        </w:rPr>
        <w:t xml:space="preserve">ponoszenia wyższych </w:t>
      </w:r>
      <w:r w:rsidRPr="0073487D">
        <w:rPr>
          <w:rFonts w:asciiTheme="minorHAnsi" w:hAnsiTheme="minorHAnsi" w:cstheme="minorHAnsi"/>
        </w:rPr>
        <w:t>niż planowane</w:t>
      </w:r>
      <w:r w:rsidR="00316EA1" w:rsidRPr="0073487D">
        <w:rPr>
          <w:rFonts w:asciiTheme="minorHAnsi" w:hAnsiTheme="minorHAnsi" w:cstheme="minorHAnsi"/>
        </w:rPr>
        <w:t xml:space="preserve"> wydatków</w:t>
      </w:r>
      <w:r w:rsidRPr="0073487D">
        <w:rPr>
          <w:rFonts w:asciiTheme="minorHAnsi" w:hAnsiTheme="minorHAnsi" w:cstheme="minorHAnsi"/>
        </w:rPr>
        <w:t>.</w:t>
      </w:r>
    </w:p>
    <w:p w14:paraId="69416C7F" w14:textId="77777777" w:rsidR="008A0E7D" w:rsidRPr="0073487D" w:rsidRDefault="008A0E7D" w:rsidP="0073487D">
      <w:pPr>
        <w:ind w:left="360"/>
        <w:jc w:val="both"/>
        <w:rPr>
          <w:rFonts w:asciiTheme="minorHAnsi" w:hAnsiTheme="minorHAnsi" w:cstheme="minorHAnsi"/>
        </w:rPr>
      </w:pPr>
    </w:p>
    <w:p w14:paraId="0DEC398D" w14:textId="77777777" w:rsidR="008A0E7D" w:rsidRPr="0073487D" w:rsidRDefault="008A0E7D" w:rsidP="0073487D">
      <w:pPr>
        <w:jc w:val="both"/>
        <w:rPr>
          <w:rFonts w:asciiTheme="minorHAnsi" w:hAnsiTheme="minorHAnsi" w:cstheme="minorHAnsi"/>
        </w:rPr>
      </w:pPr>
      <w:r w:rsidRPr="0073487D">
        <w:rPr>
          <w:rFonts w:asciiTheme="minorHAnsi" w:hAnsiTheme="minorHAnsi" w:cstheme="minorHAnsi"/>
        </w:rPr>
        <w:t>Zaangażowanie się w transakcję kredytową wówczas winno być świadomą akceptacją podwyższonego ryzyka tak po stronie Banku, jak i Państwa. Bank wskazuje, że kredyt hipoteczny obarczony jest podwyższonym ryzykiem oraz ma potencjalnie negatywny wpływ na Państwa sytuację ekonomiczną oraz na możliwość realizacji przez Państwa większych wydatków lub tworzenia oszczędności.</w:t>
      </w:r>
    </w:p>
    <w:p w14:paraId="3A68A1E7" w14:textId="7781F049" w:rsidR="00CC06CD" w:rsidRPr="0073487D" w:rsidRDefault="002F5F5F" w:rsidP="0073487D">
      <w:pPr>
        <w:ind w:left="360"/>
        <w:jc w:val="both"/>
        <w:rPr>
          <w:rFonts w:asciiTheme="minorHAnsi" w:hAnsiTheme="minorHAnsi" w:cstheme="minorHAnsi"/>
        </w:rPr>
      </w:pPr>
      <w:r w:rsidRPr="0073487D">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1F60084" wp14:editId="4721D1FF">
                <wp:simplePos x="0" y="0"/>
                <wp:positionH relativeFrom="column">
                  <wp:posOffset>14605</wp:posOffset>
                </wp:positionH>
                <wp:positionV relativeFrom="paragraph">
                  <wp:posOffset>130175</wp:posOffset>
                </wp:positionV>
                <wp:extent cx="6527800" cy="342265"/>
                <wp:effectExtent l="0" t="0" r="6350" b="635"/>
                <wp:wrapNone/>
                <wp:docPr id="1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342265"/>
                        </a:xfrm>
                        <a:prstGeom prst="rect">
                          <a:avLst/>
                        </a:prstGeom>
                        <a:solidFill>
                          <a:srgbClr val="00926C"/>
                        </a:solidFill>
                        <a:ln w="9525">
                          <a:solidFill>
                            <a:srgbClr val="000000"/>
                          </a:solidFill>
                          <a:miter lim="800000"/>
                          <a:headEnd/>
                          <a:tailEnd/>
                        </a:ln>
                      </wps:spPr>
                      <wps:txbx>
                        <w:txbxContent>
                          <w:p w14:paraId="0F206286" w14:textId="77777777" w:rsidR="007B5500" w:rsidRPr="00FE7EA3" w:rsidRDefault="001B4D72" w:rsidP="007B5500">
                            <w:pPr>
                              <w:rPr>
                                <w:rFonts w:asciiTheme="minorHAnsi" w:hAnsiTheme="minorHAnsi" w:cstheme="minorHAnsi"/>
                                <w:b/>
                                <w:color w:val="FFFFFF"/>
                                <w:sz w:val="18"/>
                                <w:szCs w:val="18"/>
                              </w:rPr>
                            </w:pPr>
                            <w:r w:rsidRPr="00FE7EA3">
                              <w:rPr>
                                <w:rFonts w:asciiTheme="minorHAnsi" w:hAnsiTheme="minorHAnsi" w:cstheme="minorHAnsi"/>
                                <w:b/>
                                <w:color w:val="FFFFFF"/>
                                <w:sz w:val="18"/>
                                <w:szCs w:val="18"/>
                              </w:rPr>
                              <w:t xml:space="preserve">JAKI WPŁYW NA TRANSAKCJĘ MAJĄ </w:t>
                            </w:r>
                            <w:r w:rsidR="00D63B4A" w:rsidRPr="00FE7EA3">
                              <w:rPr>
                                <w:rFonts w:asciiTheme="minorHAnsi" w:hAnsiTheme="minorHAnsi" w:cstheme="minorHAnsi"/>
                                <w:b/>
                                <w:color w:val="FFFFFF"/>
                                <w:sz w:val="18"/>
                                <w:szCs w:val="18"/>
                              </w:rPr>
                              <w:t>ZMIANY CEN RYNKOWYCH NIERUCHOMOŚCI STANOWIĄCEJ ZABEZPIECZENIE WIERZYTELNOŚCI BANKU</w:t>
                            </w:r>
                            <w:r w:rsidR="00613440" w:rsidRPr="00FE7EA3">
                              <w:rPr>
                                <w:rFonts w:asciiTheme="minorHAnsi" w:hAnsiTheme="minorHAnsi" w:cstheme="minorHAnsi"/>
                                <w:b/>
                                <w:color w:val="FFFFFF"/>
                                <w:sz w:val="18"/>
                                <w:szCs w:val="18"/>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60084" id="_x0000_s1030" style="position:absolute;left:0;text-align:left;margin-left:1.15pt;margin-top:10.25pt;width:514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" fillcolor="#00926c">
                <v:textbox inset=",0,,0">
                  <w:txbxContent>
                    <w:p w14:paraId="0F206286" w14:textId="77777777" w:rsidR="007B5500" w:rsidRPr="00FE7EA3" w:rsidRDefault="001B4D72" w:rsidP="007B5500">
                      <w:pPr>
                        <w:rPr>
                          <w:rFonts w:asciiTheme="minorHAnsi" w:hAnsiTheme="minorHAnsi" w:cstheme="minorHAnsi"/>
                          <w:b/>
                          <w:color w:val="FFFFFF"/>
                          <w:sz w:val="18"/>
                          <w:szCs w:val="18"/>
                        </w:rPr>
                      </w:pPr>
                      <w:r w:rsidRPr="00FE7EA3">
                        <w:rPr>
                          <w:rFonts w:asciiTheme="minorHAnsi" w:hAnsiTheme="minorHAnsi" w:cstheme="minorHAnsi"/>
                          <w:b/>
                          <w:color w:val="FFFFFF"/>
                          <w:sz w:val="18"/>
                          <w:szCs w:val="18"/>
                        </w:rPr>
                        <w:t xml:space="preserve">JAKI WPŁYW NA TRANSAKCJĘ MAJĄ </w:t>
                      </w:r>
                      <w:r w:rsidR="00D63B4A" w:rsidRPr="00FE7EA3">
                        <w:rPr>
                          <w:rFonts w:asciiTheme="minorHAnsi" w:hAnsiTheme="minorHAnsi" w:cstheme="minorHAnsi"/>
                          <w:b/>
                          <w:color w:val="FFFFFF"/>
                          <w:sz w:val="18"/>
                          <w:szCs w:val="18"/>
                        </w:rPr>
                        <w:t>ZMIANY CEN RYNKOWYCH NIERUCHOMOŚCI STANOWIĄCEJ ZABEZPIECZENIE WIERZYTELNOŚCI BANKU</w:t>
                      </w:r>
                      <w:r w:rsidR="00613440" w:rsidRPr="00FE7EA3">
                        <w:rPr>
                          <w:rFonts w:asciiTheme="minorHAnsi" w:hAnsiTheme="minorHAnsi" w:cstheme="minorHAnsi"/>
                          <w:b/>
                          <w:color w:val="FFFFFF"/>
                          <w:sz w:val="18"/>
                          <w:szCs w:val="18"/>
                        </w:rPr>
                        <w:t xml:space="preserve"> ?</w:t>
                      </w:r>
                    </w:p>
                  </w:txbxContent>
                </v:textbox>
              </v:rect>
            </w:pict>
          </mc:Fallback>
        </mc:AlternateContent>
      </w:r>
    </w:p>
    <w:p w14:paraId="5B17DFED" w14:textId="77777777" w:rsidR="007B5500" w:rsidRPr="0073487D" w:rsidRDefault="007B5500" w:rsidP="0073487D">
      <w:pPr>
        <w:ind w:left="360"/>
        <w:jc w:val="both"/>
        <w:rPr>
          <w:rFonts w:asciiTheme="minorHAnsi" w:hAnsiTheme="minorHAnsi" w:cstheme="minorHAnsi"/>
        </w:rPr>
      </w:pPr>
    </w:p>
    <w:p w14:paraId="3DF66C1A" w14:textId="77777777" w:rsidR="007B5500" w:rsidRPr="0073487D" w:rsidRDefault="007B5500" w:rsidP="0073487D">
      <w:pPr>
        <w:ind w:left="360"/>
        <w:jc w:val="both"/>
        <w:rPr>
          <w:rFonts w:asciiTheme="minorHAnsi" w:hAnsiTheme="minorHAnsi" w:cstheme="minorHAnsi"/>
        </w:rPr>
      </w:pPr>
    </w:p>
    <w:p w14:paraId="319DF597" w14:textId="77777777" w:rsidR="00CF0D66" w:rsidRPr="0073487D" w:rsidRDefault="00CF0D66" w:rsidP="0073487D">
      <w:pPr>
        <w:ind w:left="360"/>
        <w:jc w:val="both"/>
        <w:rPr>
          <w:rFonts w:asciiTheme="minorHAnsi" w:hAnsiTheme="minorHAnsi" w:cstheme="minorHAnsi"/>
        </w:rPr>
      </w:pPr>
    </w:p>
    <w:p w14:paraId="5817E85F" w14:textId="77777777" w:rsidR="005C1A32" w:rsidRDefault="00033E26" w:rsidP="0073487D">
      <w:pPr>
        <w:jc w:val="both"/>
        <w:rPr>
          <w:rFonts w:asciiTheme="minorHAnsi" w:hAnsiTheme="minorHAnsi" w:cstheme="minorHAnsi"/>
        </w:rPr>
      </w:pPr>
      <w:r w:rsidRPr="0073487D">
        <w:rPr>
          <w:rFonts w:asciiTheme="minorHAnsi" w:hAnsiTheme="minorHAnsi" w:cstheme="minorHAnsi"/>
        </w:rPr>
        <w:t>P</w:t>
      </w:r>
      <w:r w:rsidR="00CB7F62" w:rsidRPr="0073487D">
        <w:rPr>
          <w:rFonts w:asciiTheme="minorHAnsi" w:hAnsiTheme="minorHAnsi" w:cstheme="minorHAnsi"/>
        </w:rPr>
        <w:t xml:space="preserve">odstawowym zabezpieczeniem kredytu hipotecznego jest </w:t>
      </w:r>
      <w:r w:rsidR="00747176" w:rsidRPr="0073487D">
        <w:rPr>
          <w:rFonts w:asciiTheme="minorHAnsi" w:hAnsiTheme="minorHAnsi" w:cstheme="minorHAnsi"/>
        </w:rPr>
        <w:t>hipoteka na nieruchomości. Jakość takiego zabezpieczenia zależy w dużym stopniu od wartości</w:t>
      </w:r>
      <w:r w:rsidR="00F55A72" w:rsidRPr="0073487D">
        <w:rPr>
          <w:rFonts w:asciiTheme="minorHAnsi" w:hAnsiTheme="minorHAnsi" w:cstheme="minorHAnsi"/>
        </w:rPr>
        <w:t xml:space="preserve"> nieruchomości</w:t>
      </w:r>
      <w:r w:rsidR="00747176" w:rsidRPr="0073487D">
        <w:rPr>
          <w:rFonts w:asciiTheme="minorHAnsi" w:hAnsiTheme="minorHAnsi" w:cstheme="minorHAnsi"/>
        </w:rPr>
        <w:t>, a w szczególności zmiany</w:t>
      </w:r>
      <w:r w:rsidR="00CB7F62" w:rsidRPr="0073487D">
        <w:rPr>
          <w:rFonts w:asciiTheme="minorHAnsi" w:hAnsiTheme="minorHAnsi" w:cstheme="minorHAnsi"/>
        </w:rPr>
        <w:t xml:space="preserve"> tej wartości już po udzieleniu kredytu.</w:t>
      </w:r>
      <w:r w:rsidR="00747176" w:rsidRPr="0073487D">
        <w:rPr>
          <w:rFonts w:asciiTheme="minorHAnsi" w:hAnsiTheme="minorHAnsi" w:cstheme="minorHAnsi"/>
        </w:rPr>
        <w:t xml:space="preserve"> Nieruchomości są dobrem</w:t>
      </w:r>
      <w:r w:rsidR="00CB7F62" w:rsidRPr="0073487D">
        <w:rPr>
          <w:rFonts w:asciiTheme="minorHAnsi" w:hAnsiTheme="minorHAnsi" w:cstheme="minorHAnsi"/>
        </w:rPr>
        <w:t xml:space="preserve">, którego </w:t>
      </w:r>
      <w:r w:rsidR="00747176" w:rsidRPr="0073487D">
        <w:rPr>
          <w:rFonts w:asciiTheme="minorHAnsi" w:hAnsiTheme="minorHAnsi" w:cstheme="minorHAnsi"/>
        </w:rPr>
        <w:t xml:space="preserve">ceny </w:t>
      </w:r>
      <w:r w:rsidR="00CB7F62" w:rsidRPr="0073487D">
        <w:rPr>
          <w:rFonts w:asciiTheme="minorHAnsi" w:hAnsiTheme="minorHAnsi" w:cstheme="minorHAnsi"/>
        </w:rPr>
        <w:t xml:space="preserve">rynkowe </w:t>
      </w:r>
      <w:r w:rsidR="00747176" w:rsidRPr="0073487D">
        <w:rPr>
          <w:rFonts w:asciiTheme="minorHAnsi" w:hAnsiTheme="minorHAnsi" w:cstheme="minorHAnsi"/>
        </w:rPr>
        <w:t xml:space="preserve">podlegają ciągłym wahaniom. Powoduje to zmianę wartości </w:t>
      </w:r>
      <w:r w:rsidR="00CB7F62" w:rsidRPr="0073487D">
        <w:rPr>
          <w:rFonts w:asciiTheme="minorHAnsi" w:hAnsiTheme="minorHAnsi" w:cstheme="minorHAnsi"/>
        </w:rPr>
        <w:t>zabezpieczenia kredytu hipotecznego. Ewentualny wzrost wartości nieruchomości nie powoduje żadnego dodatkowego ryzyka i jest zjawiskiem korzystnym</w:t>
      </w:r>
      <w:r w:rsidR="00F55A72" w:rsidRPr="0073487D">
        <w:rPr>
          <w:rFonts w:asciiTheme="minorHAnsi" w:hAnsiTheme="minorHAnsi" w:cstheme="minorHAnsi"/>
        </w:rPr>
        <w:t>,</w:t>
      </w:r>
      <w:r w:rsidR="00CB7F62" w:rsidRPr="0073487D">
        <w:rPr>
          <w:rFonts w:asciiTheme="minorHAnsi" w:hAnsiTheme="minorHAnsi" w:cstheme="minorHAnsi"/>
        </w:rPr>
        <w:t xml:space="preserve"> zarówno z punktu widzenia Kredytobiorcy, jak i banku. Jednak na rynku nieruchomości </w:t>
      </w:r>
      <w:r w:rsidR="00747176" w:rsidRPr="0073487D">
        <w:rPr>
          <w:rFonts w:asciiTheme="minorHAnsi" w:hAnsiTheme="minorHAnsi" w:cstheme="minorHAnsi"/>
        </w:rPr>
        <w:t>mogą występować</w:t>
      </w:r>
      <w:r w:rsidR="00F55A72" w:rsidRPr="0073487D">
        <w:rPr>
          <w:rFonts w:asciiTheme="minorHAnsi" w:hAnsiTheme="minorHAnsi" w:cstheme="minorHAnsi"/>
        </w:rPr>
        <w:t xml:space="preserve"> również </w:t>
      </w:r>
    </w:p>
    <w:p w14:paraId="62877143" w14:textId="77777777" w:rsidR="005C1A32" w:rsidRDefault="005C1A32" w:rsidP="0073487D">
      <w:pPr>
        <w:jc w:val="both"/>
        <w:rPr>
          <w:rFonts w:asciiTheme="minorHAnsi" w:hAnsiTheme="minorHAnsi" w:cstheme="minorHAnsi"/>
        </w:rPr>
      </w:pPr>
    </w:p>
    <w:p w14:paraId="045CE83A" w14:textId="77777777" w:rsidR="005C1A32" w:rsidRDefault="005C1A32" w:rsidP="0073487D">
      <w:pPr>
        <w:jc w:val="both"/>
        <w:rPr>
          <w:rFonts w:asciiTheme="minorHAnsi" w:hAnsiTheme="minorHAnsi" w:cstheme="minorHAnsi"/>
        </w:rPr>
      </w:pPr>
    </w:p>
    <w:p w14:paraId="3D71B794" w14:textId="77777777" w:rsidR="005C1A32" w:rsidRDefault="005C1A32" w:rsidP="0073487D">
      <w:pPr>
        <w:jc w:val="both"/>
        <w:rPr>
          <w:rFonts w:asciiTheme="minorHAnsi" w:hAnsiTheme="minorHAnsi" w:cstheme="minorHAnsi"/>
        </w:rPr>
      </w:pPr>
    </w:p>
    <w:p w14:paraId="62A4E480" w14:textId="77777777" w:rsidR="005C1A32" w:rsidRDefault="005C1A32" w:rsidP="0073487D">
      <w:pPr>
        <w:jc w:val="both"/>
        <w:rPr>
          <w:rFonts w:asciiTheme="minorHAnsi" w:hAnsiTheme="minorHAnsi" w:cstheme="minorHAnsi"/>
        </w:rPr>
      </w:pPr>
    </w:p>
    <w:p w14:paraId="38663DC2" w14:textId="6ADEE960" w:rsidR="00D6203B" w:rsidRDefault="00F55A72" w:rsidP="0073487D">
      <w:pPr>
        <w:jc w:val="both"/>
        <w:rPr>
          <w:rFonts w:asciiTheme="minorHAnsi" w:hAnsiTheme="minorHAnsi" w:cstheme="minorHAnsi"/>
        </w:rPr>
      </w:pPr>
      <w:r w:rsidRPr="0073487D">
        <w:rPr>
          <w:rFonts w:asciiTheme="minorHAnsi" w:hAnsiTheme="minorHAnsi" w:cstheme="minorHAnsi"/>
        </w:rPr>
        <w:t xml:space="preserve">odwrotne </w:t>
      </w:r>
      <w:r w:rsidR="00747176" w:rsidRPr="0073487D">
        <w:rPr>
          <w:rFonts w:asciiTheme="minorHAnsi" w:hAnsiTheme="minorHAnsi" w:cstheme="minorHAnsi"/>
        </w:rPr>
        <w:t>sytuacje</w:t>
      </w:r>
      <w:r w:rsidRPr="0073487D">
        <w:rPr>
          <w:rFonts w:asciiTheme="minorHAnsi" w:hAnsiTheme="minorHAnsi" w:cstheme="minorHAnsi"/>
        </w:rPr>
        <w:t>,</w:t>
      </w:r>
      <w:r w:rsidR="00747176" w:rsidRPr="0073487D">
        <w:rPr>
          <w:rFonts w:asciiTheme="minorHAnsi" w:hAnsiTheme="minorHAnsi" w:cstheme="minorHAnsi"/>
        </w:rPr>
        <w:t xml:space="preserve"> czyli spadek cen nieruchomości. Taka sytuacja może spowodować, </w:t>
      </w:r>
      <w:r w:rsidR="00CB7F62" w:rsidRPr="0073487D">
        <w:rPr>
          <w:rFonts w:asciiTheme="minorHAnsi" w:hAnsiTheme="minorHAnsi" w:cstheme="minorHAnsi"/>
        </w:rPr>
        <w:t xml:space="preserve">że wartość nieruchomości stanowiącej zabezpieczenie kredytu może okazać się niewystarczająca w stosunku do aktualnego zadłużenia z tytułu zaciągniętego kredytu </w:t>
      </w:r>
    </w:p>
    <w:p w14:paraId="13E37B06" w14:textId="0115191C" w:rsidR="00CB7F62" w:rsidRPr="0073487D" w:rsidRDefault="00CB7F62" w:rsidP="0073487D">
      <w:pPr>
        <w:jc w:val="both"/>
        <w:rPr>
          <w:rFonts w:asciiTheme="minorHAnsi" w:hAnsiTheme="minorHAnsi" w:cstheme="minorHAnsi"/>
        </w:rPr>
      </w:pPr>
      <w:r w:rsidRPr="0073487D">
        <w:rPr>
          <w:rFonts w:asciiTheme="minorHAnsi" w:hAnsiTheme="minorHAnsi" w:cstheme="minorHAnsi"/>
        </w:rPr>
        <w:t xml:space="preserve">hipotecznego. </w:t>
      </w:r>
      <w:r w:rsidR="00747176" w:rsidRPr="0073487D">
        <w:rPr>
          <w:rFonts w:asciiTheme="minorHAnsi" w:hAnsiTheme="minorHAnsi" w:cstheme="minorHAnsi"/>
        </w:rPr>
        <w:t xml:space="preserve">Bank może w takiej sytuacji </w:t>
      </w:r>
      <w:r w:rsidRPr="0073487D">
        <w:rPr>
          <w:rFonts w:asciiTheme="minorHAnsi" w:hAnsiTheme="minorHAnsi" w:cstheme="minorHAnsi"/>
        </w:rPr>
        <w:t>żądać od Kredytobiorcy np. ustanowienia dodatkowego zabezpieczenia kredytu, które zrekompensuje utratę wartości nieruchomości stanowiącej aktualne zabezpieczenie kredytu.</w:t>
      </w:r>
    </w:p>
    <w:p w14:paraId="224380DA" w14:textId="6450D659" w:rsidR="00FE7EA3" w:rsidRPr="0073487D" w:rsidRDefault="00FE7EA3" w:rsidP="0073487D">
      <w:pPr>
        <w:jc w:val="both"/>
        <w:rPr>
          <w:rFonts w:asciiTheme="minorHAnsi" w:hAnsiTheme="minorHAnsi" w:cstheme="minorHAnsi"/>
        </w:rPr>
      </w:pPr>
    </w:p>
    <w:p w14:paraId="49175C9E" w14:textId="1A49BC7A" w:rsidR="00DE2A33" w:rsidRPr="0073487D" w:rsidRDefault="002F5F5F" w:rsidP="0073487D">
      <w:pPr>
        <w:ind w:left="360"/>
        <w:jc w:val="both"/>
        <w:rPr>
          <w:rFonts w:asciiTheme="minorHAnsi" w:hAnsiTheme="minorHAnsi" w:cstheme="minorHAnsi"/>
        </w:rPr>
      </w:pPr>
      <w:r w:rsidRPr="0073487D">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357EC53C" wp14:editId="749BDBBC">
                <wp:simplePos x="0" y="0"/>
                <wp:positionH relativeFrom="column">
                  <wp:posOffset>14605</wp:posOffset>
                </wp:positionH>
                <wp:positionV relativeFrom="paragraph">
                  <wp:posOffset>33655</wp:posOffset>
                </wp:positionV>
                <wp:extent cx="6527800" cy="199390"/>
                <wp:effectExtent l="0" t="0" r="6350" b="0"/>
                <wp:wrapNone/>
                <wp:docPr id="10"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199390"/>
                        </a:xfrm>
                        <a:prstGeom prst="rect">
                          <a:avLst/>
                        </a:prstGeom>
                        <a:solidFill>
                          <a:srgbClr val="00926C"/>
                        </a:solidFill>
                        <a:ln w="9525">
                          <a:solidFill>
                            <a:srgbClr val="000000"/>
                          </a:solidFill>
                          <a:miter lim="800000"/>
                          <a:headEnd/>
                          <a:tailEnd/>
                        </a:ln>
                      </wps:spPr>
                      <wps:txbx>
                        <w:txbxContent>
                          <w:p w14:paraId="39B1D2DE" w14:textId="77777777" w:rsidR="00DE2A33" w:rsidRPr="00FE7EA3" w:rsidRDefault="007B5500" w:rsidP="00DE2A33">
                            <w:pPr>
                              <w:rPr>
                                <w:rFonts w:asciiTheme="minorHAnsi" w:hAnsiTheme="minorHAnsi" w:cstheme="minorHAnsi"/>
                                <w:b/>
                                <w:color w:val="FFFFFF"/>
                                <w:sz w:val="18"/>
                              </w:rPr>
                            </w:pPr>
                            <w:r w:rsidRPr="00FE7EA3">
                              <w:rPr>
                                <w:rFonts w:asciiTheme="minorHAnsi" w:hAnsiTheme="minorHAnsi" w:cstheme="minorHAnsi"/>
                                <w:b/>
                                <w:color w:val="FFFFFF"/>
                                <w:sz w:val="18"/>
                              </w:rPr>
                              <w:t>UBEZPIECZENIA</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EC53C" id="_x0000_s1031" style="position:absolute;left:0;text-align:left;margin-left:1.15pt;margin-top:2.65pt;width:514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" fillcolor="#00926c">
                <v:textbox inset=",0,,0">
                  <w:txbxContent>
                    <w:p w14:paraId="39B1D2DE" w14:textId="77777777" w:rsidR="00DE2A33" w:rsidRPr="00FE7EA3" w:rsidRDefault="007B5500" w:rsidP="00DE2A33">
                      <w:pPr>
                        <w:rPr>
                          <w:rFonts w:asciiTheme="minorHAnsi" w:hAnsiTheme="minorHAnsi" w:cstheme="minorHAnsi"/>
                          <w:b/>
                          <w:color w:val="FFFFFF"/>
                          <w:sz w:val="18"/>
                        </w:rPr>
                      </w:pPr>
                      <w:r w:rsidRPr="00FE7EA3">
                        <w:rPr>
                          <w:rFonts w:asciiTheme="minorHAnsi" w:hAnsiTheme="minorHAnsi" w:cstheme="minorHAnsi"/>
                          <w:b/>
                          <w:color w:val="FFFFFF"/>
                          <w:sz w:val="18"/>
                        </w:rPr>
                        <w:t>UBEZPIECZENIA</w:t>
                      </w:r>
                    </w:p>
                  </w:txbxContent>
                </v:textbox>
              </v:rect>
            </w:pict>
          </mc:Fallback>
        </mc:AlternateContent>
      </w:r>
    </w:p>
    <w:p w14:paraId="2048E441" w14:textId="77777777" w:rsidR="00DE2A33" w:rsidRPr="0073487D" w:rsidRDefault="00DE2A33" w:rsidP="0073487D">
      <w:pPr>
        <w:ind w:left="360"/>
        <w:jc w:val="both"/>
        <w:rPr>
          <w:rFonts w:asciiTheme="minorHAnsi" w:hAnsiTheme="minorHAnsi" w:cstheme="minorHAnsi"/>
        </w:rPr>
      </w:pPr>
    </w:p>
    <w:p w14:paraId="276956B3" w14:textId="77777777" w:rsidR="009A4A2D" w:rsidRPr="0073487D" w:rsidRDefault="00F52563" w:rsidP="0073487D">
      <w:pPr>
        <w:jc w:val="both"/>
        <w:rPr>
          <w:rFonts w:asciiTheme="minorHAnsi" w:hAnsiTheme="minorHAnsi" w:cstheme="minorHAnsi"/>
        </w:rPr>
      </w:pPr>
      <w:r w:rsidRPr="0073487D">
        <w:rPr>
          <w:rFonts w:asciiTheme="minorHAnsi" w:hAnsiTheme="minorHAnsi" w:cstheme="minorHAnsi"/>
        </w:rPr>
        <w:t>Kredytobiorca może skorzystać z oferty ubezpieczeń towarzystw ubezpieczeniowych, z którymi Bank współpracuje. Zakres ochrony ubezpieczeniowej zawarty jest w Warunkach Ubezpieczeń danego towarzystwa, które dostępne są w placówkach Banku. Kredytobiorca może również skorzystać z ubezpieczeń spoza oferty Banku, pod warunkiem, że oferujące je zakłady ubezpieczeń oraz produkty spełniają wymogi Banku dotyczące zabezpieczenia ekspozycji kredytowej</w:t>
      </w:r>
      <w:r w:rsidR="00F417E3" w:rsidRPr="0073487D">
        <w:rPr>
          <w:rFonts w:asciiTheme="minorHAnsi" w:hAnsiTheme="minorHAnsi" w:cstheme="minorHAnsi"/>
        </w:rPr>
        <w:t>.</w:t>
      </w:r>
    </w:p>
    <w:p w14:paraId="0F2FD6A4" w14:textId="77777777" w:rsidR="001B4D72" w:rsidRPr="0073487D" w:rsidRDefault="001B4D72" w:rsidP="0073487D">
      <w:pPr>
        <w:ind w:left="360"/>
        <w:jc w:val="both"/>
        <w:rPr>
          <w:rFonts w:asciiTheme="minorHAnsi" w:hAnsiTheme="minorHAnsi" w:cstheme="minorHAnsi"/>
        </w:rPr>
      </w:pPr>
    </w:p>
    <w:p w14:paraId="3949FB3D" w14:textId="4B82C2F7" w:rsidR="00D63B4A" w:rsidRPr="0073487D" w:rsidRDefault="002F5F5F" w:rsidP="0073487D">
      <w:pPr>
        <w:ind w:left="360"/>
        <w:jc w:val="both"/>
        <w:rPr>
          <w:rFonts w:asciiTheme="minorHAnsi" w:hAnsiTheme="minorHAnsi" w:cstheme="minorHAnsi"/>
        </w:rPr>
      </w:pPr>
      <w:r w:rsidRPr="0073487D">
        <w:rPr>
          <w:rFonts w:asciiTheme="minorHAnsi" w:hAnsiTheme="minorHAnsi" w:cstheme="minorHAnsi"/>
          <w:b/>
          <w:noProof/>
          <w:u w:val="single"/>
        </w:rPr>
        <mc:AlternateContent>
          <mc:Choice Requires="wps">
            <w:drawing>
              <wp:anchor distT="0" distB="0" distL="114300" distR="114300" simplePos="0" relativeHeight="251660288" behindDoc="0" locked="0" layoutInCell="1" allowOverlap="1" wp14:anchorId="5B615D3F" wp14:editId="6A6F50FC">
                <wp:simplePos x="0" y="0"/>
                <wp:positionH relativeFrom="column">
                  <wp:posOffset>-13970</wp:posOffset>
                </wp:positionH>
                <wp:positionV relativeFrom="paragraph">
                  <wp:posOffset>-3175</wp:posOffset>
                </wp:positionV>
                <wp:extent cx="6480175" cy="161290"/>
                <wp:effectExtent l="0" t="0" r="0" b="0"/>
                <wp:wrapNone/>
                <wp:docPr id="9"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61290"/>
                        </a:xfrm>
                        <a:prstGeom prst="rect">
                          <a:avLst/>
                        </a:prstGeom>
                        <a:solidFill>
                          <a:srgbClr val="00926C"/>
                        </a:solidFill>
                        <a:ln w="9525">
                          <a:solidFill>
                            <a:srgbClr val="000000"/>
                          </a:solidFill>
                          <a:miter lim="800000"/>
                          <a:headEnd/>
                          <a:tailEnd/>
                        </a:ln>
                      </wps:spPr>
                      <wps:txbx>
                        <w:txbxContent>
                          <w:p w14:paraId="170D68CD" w14:textId="77777777" w:rsidR="00D63B4A" w:rsidRPr="00FE7EA3" w:rsidRDefault="00D63B4A" w:rsidP="00D63B4A">
                            <w:pPr>
                              <w:rPr>
                                <w:rFonts w:asciiTheme="minorHAnsi" w:hAnsiTheme="minorHAnsi" w:cstheme="minorHAnsi"/>
                                <w:b/>
                                <w:color w:val="FFFFFF"/>
                                <w:sz w:val="18"/>
                              </w:rPr>
                            </w:pPr>
                            <w:r w:rsidRPr="00FE7EA3">
                              <w:rPr>
                                <w:rFonts w:asciiTheme="minorHAnsi" w:hAnsiTheme="minorHAnsi" w:cstheme="minorHAnsi"/>
                                <w:b/>
                                <w:color w:val="FFFFFF"/>
                                <w:sz w:val="18"/>
                              </w:rPr>
                              <w:t>SLOWNIK POJĘĆ</w:t>
                            </w:r>
                          </w:p>
                          <w:p w14:paraId="787A2BB4" w14:textId="77777777" w:rsidR="00D63B4A" w:rsidRPr="00DD1C16" w:rsidRDefault="00D63B4A" w:rsidP="00D63B4A">
                            <w:pPr>
                              <w:rPr>
                                <w:b/>
                                <w:color w:val="FFFFFF"/>
                                <w:sz w:val="18"/>
                              </w:rPr>
                            </w:pPr>
                          </w:p>
                          <w:p w14:paraId="01EB912E" w14:textId="77777777" w:rsidR="00D63B4A" w:rsidRPr="00DD1C16" w:rsidRDefault="00D63B4A" w:rsidP="00D63B4A">
                            <w:pPr>
                              <w:rPr>
                                <w:b/>
                                <w:color w:val="FFFFFF"/>
                                <w:sz w:val="18"/>
                              </w:rPr>
                            </w:pPr>
                          </w:p>
                          <w:p w14:paraId="452D3DB2" w14:textId="77777777" w:rsidR="00D63B4A" w:rsidRPr="00DD1C16" w:rsidRDefault="00D63B4A" w:rsidP="00D63B4A">
                            <w:pPr>
                              <w:rPr>
                                <w:b/>
                                <w:color w:val="FFFFFF"/>
                                <w:sz w:val="18"/>
                              </w:rPr>
                            </w:pPr>
                          </w:p>
                          <w:p w14:paraId="73A4A10B" w14:textId="77777777" w:rsidR="00D63B4A" w:rsidRPr="00DD1C16" w:rsidRDefault="00D63B4A" w:rsidP="00D63B4A">
                            <w:pPr>
                              <w:rPr>
                                <w:b/>
                                <w:color w:val="FFFFFF"/>
                                <w:sz w:val="18"/>
                              </w:rPr>
                            </w:pPr>
                          </w:p>
                          <w:p w14:paraId="0DC30980" w14:textId="77777777" w:rsidR="00D63B4A" w:rsidRPr="00DD1C16" w:rsidRDefault="00D63B4A" w:rsidP="00D63B4A">
                            <w:pPr>
                              <w:rPr>
                                <w:b/>
                                <w:color w:val="FFFFFF"/>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15D3F" id="_x0000_s1032" style="position:absolute;left:0;text-align:left;margin-left:-1.1pt;margin-top:-.25pt;width:510.25pt;height: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" fillcolor="#00926c">
                <v:textbox inset=",0,,0">
                  <w:txbxContent>
                    <w:p w14:paraId="170D68CD" w14:textId="77777777" w:rsidR="00D63B4A" w:rsidRPr="00FE7EA3" w:rsidRDefault="00D63B4A" w:rsidP="00D63B4A">
                      <w:pPr>
                        <w:rPr>
                          <w:rFonts w:asciiTheme="minorHAnsi" w:hAnsiTheme="minorHAnsi" w:cstheme="minorHAnsi"/>
                          <w:b/>
                          <w:color w:val="FFFFFF"/>
                          <w:sz w:val="18"/>
                        </w:rPr>
                      </w:pPr>
                      <w:r w:rsidRPr="00FE7EA3">
                        <w:rPr>
                          <w:rFonts w:asciiTheme="minorHAnsi" w:hAnsiTheme="minorHAnsi" w:cstheme="minorHAnsi"/>
                          <w:b/>
                          <w:color w:val="FFFFFF"/>
                          <w:sz w:val="18"/>
                        </w:rPr>
                        <w:t>SLOWNIK POJĘĆ</w:t>
                      </w:r>
                    </w:p>
                    <w:p w14:paraId="787A2BB4" w14:textId="77777777" w:rsidR="00D63B4A" w:rsidRPr="00DD1C16" w:rsidRDefault="00D63B4A" w:rsidP="00D63B4A">
                      <w:pPr>
                        <w:rPr>
                          <w:b/>
                          <w:color w:val="FFFFFF"/>
                          <w:sz w:val="18"/>
                        </w:rPr>
                      </w:pPr>
                    </w:p>
                    <w:p w14:paraId="01EB912E" w14:textId="77777777" w:rsidR="00D63B4A" w:rsidRPr="00DD1C16" w:rsidRDefault="00D63B4A" w:rsidP="00D63B4A">
                      <w:pPr>
                        <w:rPr>
                          <w:b/>
                          <w:color w:val="FFFFFF"/>
                          <w:sz w:val="18"/>
                        </w:rPr>
                      </w:pPr>
                    </w:p>
                    <w:p w14:paraId="452D3DB2" w14:textId="77777777" w:rsidR="00D63B4A" w:rsidRPr="00DD1C16" w:rsidRDefault="00D63B4A" w:rsidP="00D63B4A">
                      <w:pPr>
                        <w:rPr>
                          <w:b/>
                          <w:color w:val="FFFFFF"/>
                          <w:sz w:val="18"/>
                        </w:rPr>
                      </w:pPr>
                    </w:p>
                    <w:p w14:paraId="73A4A10B" w14:textId="77777777" w:rsidR="00D63B4A" w:rsidRPr="00DD1C16" w:rsidRDefault="00D63B4A" w:rsidP="00D63B4A">
                      <w:pPr>
                        <w:rPr>
                          <w:b/>
                          <w:color w:val="FFFFFF"/>
                          <w:sz w:val="18"/>
                        </w:rPr>
                      </w:pPr>
                    </w:p>
                    <w:p w14:paraId="0DC30980" w14:textId="77777777" w:rsidR="00D63B4A" w:rsidRPr="00DD1C16" w:rsidRDefault="00D63B4A" w:rsidP="00D63B4A">
                      <w:pPr>
                        <w:rPr>
                          <w:b/>
                          <w:color w:val="FFFFFF"/>
                          <w:sz w:val="18"/>
                        </w:rPr>
                      </w:pPr>
                    </w:p>
                  </w:txbxContent>
                </v:textbox>
              </v:rect>
            </w:pict>
          </mc:Fallback>
        </mc:AlternateContent>
      </w:r>
    </w:p>
    <w:p w14:paraId="66382CB3" w14:textId="77777777" w:rsidR="00D63B4A" w:rsidRPr="0073487D" w:rsidRDefault="00D63B4A" w:rsidP="0073487D">
      <w:pPr>
        <w:ind w:left="360"/>
        <w:jc w:val="both"/>
        <w:rPr>
          <w:rFonts w:asciiTheme="minorHAnsi" w:hAnsiTheme="minorHAnsi" w:cstheme="minorHAnsi"/>
          <w:b/>
          <w:u w:val="single"/>
        </w:rPr>
      </w:pPr>
    </w:p>
    <w:p w14:paraId="1417AB31" w14:textId="3E522AD2" w:rsidR="00D63B4A" w:rsidRPr="0073487D" w:rsidRDefault="00D63B4A" w:rsidP="0073487D">
      <w:pPr>
        <w:jc w:val="both"/>
        <w:rPr>
          <w:rFonts w:asciiTheme="minorHAnsi" w:hAnsiTheme="minorHAnsi" w:cstheme="minorHAnsi"/>
          <w:b/>
          <w:u w:val="single"/>
        </w:rPr>
      </w:pPr>
      <w:r w:rsidRPr="00D6203B">
        <w:rPr>
          <w:rFonts w:asciiTheme="minorHAnsi" w:hAnsiTheme="minorHAnsi" w:cstheme="minorHAnsi"/>
          <w:b/>
          <w:bCs/>
        </w:rPr>
        <w:t>Oprocentowanie okresowo – stałe</w:t>
      </w:r>
      <w:r w:rsidRPr="0073487D">
        <w:rPr>
          <w:rFonts w:asciiTheme="minorHAnsi" w:hAnsiTheme="minorHAnsi" w:cstheme="minorHAnsi"/>
        </w:rPr>
        <w:t xml:space="preserve"> -</w:t>
      </w:r>
      <w:r w:rsidR="00D6203B">
        <w:rPr>
          <w:rFonts w:asciiTheme="minorHAnsi" w:hAnsiTheme="minorHAnsi" w:cstheme="minorHAnsi"/>
        </w:rPr>
        <w:t xml:space="preserve"> </w:t>
      </w:r>
      <w:r w:rsidRPr="0073487D">
        <w:rPr>
          <w:rFonts w:asciiTheme="minorHAnsi" w:hAnsiTheme="minorHAnsi" w:cstheme="minorHAnsi"/>
        </w:rPr>
        <w:t>stopa, według której oprocentowany jest kredyt, wyrażona jako stała wartość procentowa w określonym w Umowie kredytu przedziale czasu. Zasady ustalania oprocentowania okresowo – stałego kredytu oraz dokonywania zmian oprocentowania kredytu są określone w Umowie kredytu</w:t>
      </w:r>
      <w:r w:rsidR="00033E26" w:rsidRPr="0073487D">
        <w:rPr>
          <w:rFonts w:asciiTheme="minorHAnsi" w:hAnsiTheme="minorHAnsi" w:cstheme="minorHAnsi"/>
        </w:rPr>
        <w:t>.</w:t>
      </w:r>
    </w:p>
    <w:p w14:paraId="6B0F3A4F" w14:textId="77777777" w:rsidR="00D63B4A" w:rsidRPr="0073487D" w:rsidRDefault="00D63B4A" w:rsidP="0073487D">
      <w:pPr>
        <w:ind w:left="360"/>
        <w:jc w:val="both"/>
        <w:rPr>
          <w:rFonts w:asciiTheme="minorHAnsi" w:hAnsiTheme="minorHAnsi" w:cstheme="minorHAnsi"/>
          <w:b/>
          <w:u w:val="single"/>
        </w:rPr>
      </w:pPr>
    </w:p>
    <w:p w14:paraId="423CDBCA" w14:textId="77777777" w:rsidR="00D63B4A" w:rsidRPr="0073487D" w:rsidRDefault="00D63B4A" w:rsidP="0073487D">
      <w:pPr>
        <w:jc w:val="both"/>
        <w:rPr>
          <w:rFonts w:asciiTheme="minorHAnsi" w:hAnsiTheme="minorHAnsi" w:cstheme="minorHAnsi"/>
        </w:rPr>
      </w:pPr>
      <w:r w:rsidRPr="00D6203B">
        <w:rPr>
          <w:rFonts w:asciiTheme="minorHAnsi" w:hAnsiTheme="minorHAnsi" w:cstheme="minorHAnsi"/>
          <w:b/>
          <w:bCs/>
        </w:rPr>
        <w:t>Oprocentowanie zmienne</w:t>
      </w:r>
      <w:r w:rsidRPr="0073487D">
        <w:rPr>
          <w:rFonts w:asciiTheme="minorHAnsi" w:hAnsiTheme="minorHAnsi" w:cstheme="minorHAnsi"/>
        </w:rPr>
        <w:t xml:space="preserve"> – stopa, według której jest oprocentowany kredyt; jest ustalana jako suma </w:t>
      </w:r>
      <w:r w:rsidR="00C15D02" w:rsidRPr="0073487D">
        <w:rPr>
          <w:rFonts w:asciiTheme="minorHAnsi" w:hAnsiTheme="minorHAnsi" w:cstheme="minorHAnsi"/>
        </w:rPr>
        <w:t xml:space="preserve">wskaźnika </w:t>
      </w:r>
      <w:r w:rsidRPr="0073487D">
        <w:rPr>
          <w:rFonts w:asciiTheme="minorHAnsi" w:hAnsiTheme="minorHAnsi" w:cstheme="minorHAnsi"/>
        </w:rPr>
        <w:t>referencyjne</w:t>
      </w:r>
      <w:r w:rsidR="00C15D02" w:rsidRPr="0073487D">
        <w:rPr>
          <w:rFonts w:asciiTheme="minorHAnsi" w:hAnsiTheme="minorHAnsi" w:cstheme="minorHAnsi"/>
        </w:rPr>
        <w:t>go</w:t>
      </w:r>
      <w:r w:rsidRPr="0073487D">
        <w:rPr>
          <w:rFonts w:asciiTheme="minorHAnsi" w:hAnsiTheme="minorHAnsi" w:cstheme="minorHAnsi"/>
        </w:rPr>
        <w:t xml:space="preserve"> i indywidualnie ustalonej przez Bank i Klienta marży.</w:t>
      </w:r>
    </w:p>
    <w:p w14:paraId="33C8AE39" w14:textId="77777777" w:rsidR="00D63B4A" w:rsidRPr="0073487D" w:rsidRDefault="00D63B4A" w:rsidP="0073487D">
      <w:pPr>
        <w:ind w:left="360"/>
        <w:jc w:val="both"/>
        <w:rPr>
          <w:rFonts w:asciiTheme="minorHAnsi" w:hAnsiTheme="minorHAnsi" w:cstheme="minorHAnsi"/>
        </w:rPr>
      </w:pPr>
    </w:p>
    <w:p w14:paraId="34D09261" w14:textId="77777777" w:rsidR="00D63B4A" w:rsidRPr="0073487D" w:rsidRDefault="00D63B4A" w:rsidP="0073487D">
      <w:pPr>
        <w:jc w:val="both"/>
        <w:rPr>
          <w:rFonts w:asciiTheme="minorHAnsi" w:hAnsiTheme="minorHAnsi" w:cstheme="minorHAnsi"/>
        </w:rPr>
      </w:pPr>
      <w:r w:rsidRPr="00D6203B">
        <w:rPr>
          <w:rFonts w:asciiTheme="minorHAnsi" w:hAnsiTheme="minorHAnsi" w:cstheme="minorHAnsi"/>
          <w:b/>
          <w:bCs/>
        </w:rPr>
        <w:t>Raty równe</w:t>
      </w:r>
      <w:r w:rsidRPr="0073487D">
        <w:rPr>
          <w:rFonts w:asciiTheme="minorHAnsi" w:hAnsiTheme="minorHAnsi" w:cstheme="minorHAnsi"/>
        </w:rPr>
        <w:t xml:space="preserve"> – raty obejmujące spłatę kapitału i odsetek; w miarę spłaty kredytu udział raty kapitałowej rośnie, a raty odsetkowej maleje, przez co rata w całym okresie kredytowania jest stała dla Kredytobiorcy.</w:t>
      </w:r>
    </w:p>
    <w:p w14:paraId="408C6CA1" w14:textId="77777777" w:rsidR="00D63B4A" w:rsidRPr="0073487D" w:rsidRDefault="00D63B4A" w:rsidP="0073487D">
      <w:pPr>
        <w:ind w:left="360"/>
        <w:jc w:val="both"/>
        <w:rPr>
          <w:rFonts w:asciiTheme="minorHAnsi" w:hAnsiTheme="minorHAnsi" w:cstheme="minorHAnsi"/>
        </w:rPr>
      </w:pPr>
    </w:p>
    <w:p w14:paraId="66302AB6" w14:textId="5F6E6596" w:rsidR="00D63B4A" w:rsidRPr="0073487D" w:rsidRDefault="00D63B4A" w:rsidP="0073487D">
      <w:pPr>
        <w:jc w:val="both"/>
        <w:rPr>
          <w:rFonts w:asciiTheme="minorHAnsi" w:hAnsiTheme="minorHAnsi" w:cstheme="minorHAnsi"/>
        </w:rPr>
      </w:pPr>
      <w:r w:rsidRPr="00D6203B">
        <w:rPr>
          <w:rFonts w:asciiTheme="minorHAnsi" w:hAnsiTheme="minorHAnsi" w:cstheme="minorHAnsi"/>
          <w:b/>
          <w:bCs/>
        </w:rPr>
        <w:t>Raty malejące</w:t>
      </w:r>
      <w:r w:rsidRPr="0073487D">
        <w:rPr>
          <w:rFonts w:asciiTheme="minorHAnsi" w:hAnsiTheme="minorHAnsi" w:cstheme="minorHAnsi"/>
        </w:rPr>
        <w:t xml:space="preserve"> – raty o zmiennej wysokości obejmujące spłatę kapitału i odsetek; złożonych</w:t>
      </w:r>
      <w:r w:rsidR="00D6203B">
        <w:rPr>
          <w:rFonts w:asciiTheme="minorHAnsi" w:hAnsiTheme="minorHAnsi" w:cstheme="minorHAnsi"/>
        </w:rPr>
        <w:t xml:space="preserve"> </w:t>
      </w:r>
      <w:r w:rsidRPr="0073487D">
        <w:rPr>
          <w:rFonts w:asciiTheme="minorHAnsi" w:hAnsiTheme="minorHAnsi" w:cstheme="minorHAnsi"/>
        </w:rPr>
        <w:t>z równych rat kapitałowych i malejących odsetek tj. wraz ze spłatą kapitału raty stają się coraz niższe co jest spowodowane tym, że odsetki są naliczane od zmniejszającego się zadłużenia.</w:t>
      </w:r>
    </w:p>
    <w:p w14:paraId="60E37A3B" w14:textId="77777777" w:rsidR="00D63B4A" w:rsidRPr="0073487D" w:rsidRDefault="00D63B4A" w:rsidP="0073487D">
      <w:pPr>
        <w:ind w:left="360"/>
        <w:jc w:val="both"/>
        <w:rPr>
          <w:rFonts w:asciiTheme="minorHAnsi" w:hAnsiTheme="minorHAnsi" w:cstheme="minorHAnsi"/>
        </w:rPr>
      </w:pPr>
    </w:p>
    <w:p w14:paraId="11D51BC7" w14:textId="2EC5EF97" w:rsidR="00D63B4A" w:rsidRPr="0073487D" w:rsidRDefault="00D63B4A" w:rsidP="0073487D">
      <w:pPr>
        <w:jc w:val="both"/>
        <w:rPr>
          <w:rFonts w:asciiTheme="minorHAnsi" w:hAnsiTheme="minorHAnsi" w:cstheme="minorHAnsi"/>
        </w:rPr>
      </w:pPr>
      <w:r w:rsidRPr="00D6203B">
        <w:rPr>
          <w:rFonts w:asciiTheme="minorHAnsi" w:hAnsiTheme="minorHAnsi" w:cstheme="minorHAnsi"/>
          <w:b/>
          <w:bCs/>
        </w:rPr>
        <w:t>Rekomendacja S</w:t>
      </w:r>
      <w:r w:rsidRPr="0073487D">
        <w:rPr>
          <w:rFonts w:asciiTheme="minorHAnsi" w:hAnsiTheme="minorHAnsi" w:cstheme="minorHAnsi"/>
        </w:rPr>
        <w:t xml:space="preserve"> – rekomendacja Komisji Nadzoru Finansowego dotycząca dobrych praktyk</w:t>
      </w:r>
      <w:r w:rsidR="00D6203B">
        <w:rPr>
          <w:rFonts w:asciiTheme="minorHAnsi" w:hAnsiTheme="minorHAnsi" w:cstheme="minorHAnsi"/>
        </w:rPr>
        <w:t xml:space="preserve"> </w:t>
      </w:r>
      <w:r w:rsidRPr="0073487D">
        <w:rPr>
          <w:rFonts w:asciiTheme="minorHAnsi" w:hAnsiTheme="minorHAnsi" w:cstheme="minorHAnsi"/>
        </w:rPr>
        <w:t xml:space="preserve">w zakresie zarządzania ekspozycjami kredytowymi zabezpieczonymi hipotecznie. Tekst rekomendacji jest dostępny na stronie </w:t>
      </w:r>
      <w:hyperlink r:id="rId15" w:history="1">
        <w:r w:rsidRPr="0073487D">
          <w:rPr>
            <w:rStyle w:val="Hipercze"/>
            <w:rFonts w:asciiTheme="minorHAnsi" w:hAnsiTheme="minorHAnsi" w:cstheme="minorHAnsi"/>
            <w:color w:val="auto"/>
          </w:rPr>
          <w:t>www.knf.gov.pl</w:t>
        </w:r>
      </w:hyperlink>
    </w:p>
    <w:p w14:paraId="37975BD0" w14:textId="77777777" w:rsidR="00D63B4A" w:rsidRPr="0073487D" w:rsidRDefault="00D63B4A" w:rsidP="0073487D">
      <w:pPr>
        <w:ind w:left="360"/>
        <w:jc w:val="both"/>
        <w:rPr>
          <w:rFonts w:asciiTheme="minorHAnsi" w:hAnsiTheme="minorHAnsi" w:cstheme="minorHAnsi"/>
        </w:rPr>
      </w:pPr>
    </w:p>
    <w:p w14:paraId="44AA0F15" w14:textId="05AF3D49" w:rsidR="00D63B4A" w:rsidRDefault="00D63B4A" w:rsidP="0073487D">
      <w:pPr>
        <w:jc w:val="both"/>
        <w:rPr>
          <w:rFonts w:asciiTheme="minorHAnsi" w:hAnsiTheme="minorHAnsi" w:cstheme="minorHAnsi"/>
        </w:rPr>
      </w:pPr>
      <w:r w:rsidRPr="00D6203B">
        <w:rPr>
          <w:rFonts w:asciiTheme="minorHAnsi" w:hAnsiTheme="minorHAnsi" w:cstheme="minorHAnsi"/>
          <w:b/>
          <w:bCs/>
        </w:rPr>
        <w:t>Ekspozycja kredytowa zabezpieczona hipotecznie</w:t>
      </w:r>
      <w:r w:rsidRPr="0073487D">
        <w:rPr>
          <w:rFonts w:asciiTheme="minorHAnsi" w:hAnsiTheme="minorHAnsi" w:cstheme="minorHAnsi"/>
        </w:rPr>
        <w:t xml:space="preserve"> – kredyt związany z finansowaniem nieruchomości, w przypadku którego zostało ustanowione zabezpieczenie w postaci hipoteki lub hipoteka stanowi zabezpieczenie docelowe.</w:t>
      </w:r>
    </w:p>
    <w:p w14:paraId="5CCED431" w14:textId="77777777" w:rsidR="00CB5299" w:rsidRPr="0073487D" w:rsidRDefault="00CB5299" w:rsidP="0073487D">
      <w:pPr>
        <w:jc w:val="both"/>
        <w:rPr>
          <w:rFonts w:asciiTheme="minorHAnsi" w:hAnsiTheme="minorHAnsi" w:cstheme="minorHAnsi"/>
          <w:b/>
          <w:u w:val="single"/>
        </w:rPr>
      </w:pPr>
    </w:p>
    <w:p w14:paraId="482ADB37" w14:textId="77777777" w:rsidR="00D63B4A" w:rsidRPr="0073487D" w:rsidRDefault="00D63B4A" w:rsidP="0073487D">
      <w:pPr>
        <w:jc w:val="both"/>
        <w:rPr>
          <w:rFonts w:asciiTheme="minorHAnsi" w:hAnsiTheme="minorHAnsi" w:cstheme="minorHAnsi"/>
        </w:rPr>
      </w:pPr>
      <w:r w:rsidRPr="00CB5299">
        <w:rPr>
          <w:rFonts w:asciiTheme="minorHAnsi" w:hAnsiTheme="minorHAnsi" w:cstheme="minorHAnsi"/>
          <w:b/>
          <w:bCs/>
        </w:rPr>
        <w:t>Ryzyko stopy procentowej</w:t>
      </w:r>
      <w:r w:rsidRPr="0073487D">
        <w:rPr>
          <w:rFonts w:asciiTheme="minorHAnsi" w:hAnsiTheme="minorHAnsi" w:cstheme="minorHAnsi"/>
        </w:rPr>
        <w:t xml:space="preserve">  – stopa procentowa to inaczej cena pieniądza na rynku. Miesięczna rata kredytu składa się </w:t>
      </w:r>
      <w:r w:rsidRPr="0073487D">
        <w:rPr>
          <w:rFonts w:asciiTheme="minorHAnsi" w:hAnsiTheme="minorHAnsi" w:cstheme="minorHAnsi"/>
        </w:rPr>
        <w:br/>
        <w:t>z dwóch części – kapitałowej i odsetkowej. W przypadku kredytów oprocentowanych według zmiennej stopy procentowej odsetkowa część raty kredytu może ulegać zmianom w zależności od aktualnej wysokości stopy procentowej.</w:t>
      </w:r>
    </w:p>
    <w:p w14:paraId="2F28ACAA" w14:textId="77777777" w:rsidR="00D63B4A" w:rsidRPr="0073487D" w:rsidRDefault="00D63B4A" w:rsidP="0073487D">
      <w:pPr>
        <w:ind w:left="360"/>
        <w:jc w:val="both"/>
        <w:rPr>
          <w:rFonts w:asciiTheme="minorHAnsi" w:hAnsiTheme="minorHAnsi" w:cstheme="minorHAnsi"/>
        </w:rPr>
      </w:pPr>
    </w:p>
    <w:p w14:paraId="4674CDE0" w14:textId="373564FC" w:rsidR="00D63B4A" w:rsidRPr="0073487D" w:rsidRDefault="00D63B4A" w:rsidP="0073487D">
      <w:pPr>
        <w:jc w:val="both"/>
        <w:rPr>
          <w:rFonts w:asciiTheme="minorHAnsi" w:hAnsiTheme="minorHAnsi" w:cstheme="minorHAnsi"/>
        </w:rPr>
      </w:pPr>
      <w:r w:rsidRPr="00D6203B">
        <w:rPr>
          <w:rFonts w:asciiTheme="minorHAnsi" w:hAnsiTheme="minorHAnsi" w:cstheme="minorHAnsi"/>
          <w:b/>
          <w:bCs/>
        </w:rPr>
        <w:t>Ryzyko kursowe</w:t>
      </w:r>
      <w:r w:rsidRPr="0073487D">
        <w:rPr>
          <w:rFonts w:asciiTheme="minorHAnsi" w:hAnsiTheme="minorHAnsi" w:cstheme="minorHAnsi"/>
        </w:rPr>
        <w:t xml:space="preserve"> – ryzyko związane z możliwością wystąpienia w czasie trwania umowy kredytowej zmiany </w:t>
      </w:r>
      <w:hyperlink r:id="rId16" w:tooltip="Kurs walutowy" w:history="1">
        <w:r w:rsidRPr="0073487D">
          <w:rPr>
            <w:rFonts w:asciiTheme="minorHAnsi" w:hAnsiTheme="minorHAnsi" w:cstheme="minorHAnsi"/>
          </w:rPr>
          <w:t>kursu</w:t>
        </w:r>
      </w:hyperlink>
      <w:r w:rsidRPr="0073487D">
        <w:rPr>
          <w:rFonts w:asciiTheme="minorHAnsi" w:hAnsiTheme="minorHAnsi" w:cstheme="minorHAnsi"/>
        </w:rPr>
        <w:t xml:space="preserve"> </w:t>
      </w:r>
      <w:hyperlink r:id="rId17" w:tooltip="Waluta" w:history="1">
        <w:r w:rsidRPr="0073487D">
          <w:rPr>
            <w:rFonts w:asciiTheme="minorHAnsi" w:hAnsiTheme="minorHAnsi" w:cstheme="minorHAnsi"/>
          </w:rPr>
          <w:t>waluty</w:t>
        </w:r>
      </w:hyperlink>
      <w:r w:rsidRPr="0073487D">
        <w:rPr>
          <w:rFonts w:asciiTheme="minorHAnsi" w:hAnsiTheme="minorHAnsi" w:cstheme="minorHAnsi"/>
        </w:rPr>
        <w:t>, w której został zaciągnięty kredyt, występuje przy kredytach walutowych lub, gdy Kredytobiorca osiąga dochody</w:t>
      </w:r>
      <w:r w:rsidR="00CB5299">
        <w:rPr>
          <w:rFonts w:asciiTheme="minorHAnsi" w:hAnsiTheme="minorHAnsi" w:cstheme="minorHAnsi"/>
        </w:rPr>
        <w:t xml:space="preserve"> </w:t>
      </w:r>
      <w:r w:rsidRPr="0073487D">
        <w:rPr>
          <w:rFonts w:asciiTheme="minorHAnsi" w:hAnsiTheme="minorHAnsi" w:cstheme="minorHAnsi"/>
        </w:rPr>
        <w:t>w walucie innej niż zaciągnięty kredyt.</w:t>
      </w:r>
    </w:p>
    <w:p w14:paraId="0A0AD53B" w14:textId="77777777" w:rsidR="00D63B4A" w:rsidRPr="0073487D" w:rsidRDefault="00D63B4A" w:rsidP="0073487D">
      <w:pPr>
        <w:ind w:left="360"/>
        <w:jc w:val="both"/>
        <w:rPr>
          <w:rFonts w:asciiTheme="minorHAnsi" w:hAnsiTheme="minorHAnsi" w:cstheme="minorHAnsi"/>
        </w:rPr>
      </w:pPr>
    </w:p>
    <w:p w14:paraId="5CA2FD84" w14:textId="68CB6B99" w:rsidR="00D63B4A" w:rsidRPr="0073487D" w:rsidRDefault="00FE7EA3" w:rsidP="0073487D">
      <w:pPr>
        <w:widowControl w:val="0"/>
        <w:adjustRightInd w:val="0"/>
        <w:spacing w:after="120"/>
        <w:jc w:val="both"/>
        <w:textAlignment w:val="baseline"/>
        <w:rPr>
          <w:rFonts w:asciiTheme="minorHAnsi" w:hAnsiTheme="minorHAnsi" w:cstheme="minorHAnsi"/>
          <w:lang w:val="x-none" w:eastAsia="x-none"/>
        </w:rPr>
      </w:pPr>
      <w:r w:rsidRPr="00D6203B">
        <w:rPr>
          <w:rFonts w:asciiTheme="minorHAnsi" w:hAnsiTheme="minorHAnsi" w:cstheme="minorHAnsi"/>
          <w:b/>
          <w:bCs/>
        </w:rPr>
        <w:t>Rzeczywista</w:t>
      </w:r>
      <w:r w:rsidR="00D63B4A" w:rsidRPr="00D6203B">
        <w:rPr>
          <w:rFonts w:asciiTheme="minorHAnsi" w:hAnsiTheme="minorHAnsi" w:cstheme="minorHAnsi"/>
          <w:b/>
          <w:bCs/>
        </w:rPr>
        <w:t xml:space="preserve"> roczna stopa oprocentowania (RRSO)</w:t>
      </w:r>
      <w:r w:rsidR="00D63B4A" w:rsidRPr="0073487D">
        <w:rPr>
          <w:rFonts w:asciiTheme="minorHAnsi" w:hAnsiTheme="minorHAnsi" w:cstheme="minorHAnsi"/>
          <w:lang w:eastAsia="x-none"/>
        </w:rPr>
        <w:t xml:space="preserve"> </w:t>
      </w:r>
      <w:r w:rsidR="00D63B4A" w:rsidRPr="0073487D">
        <w:rPr>
          <w:rFonts w:asciiTheme="minorHAnsi" w:hAnsiTheme="minorHAnsi" w:cstheme="minorHAnsi"/>
          <w:lang w:val="x-none" w:eastAsia="x-none"/>
        </w:rPr>
        <w:t>–</w:t>
      </w:r>
      <w:r w:rsidR="00D63B4A" w:rsidRPr="0073487D">
        <w:rPr>
          <w:rFonts w:asciiTheme="minorHAnsi" w:hAnsiTheme="minorHAnsi" w:cstheme="minorHAnsi"/>
          <w:lang w:eastAsia="x-none"/>
        </w:rPr>
        <w:t xml:space="preserve"> </w:t>
      </w:r>
      <w:r w:rsidR="00D63B4A" w:rsidRPr="0073487D">
        <w:rPr>
          <w:rFonts w:asciiTheme="minorHAnsi" w:hAnsiTheme="minorHAnsi" w:cstheme="minorHAnsi"/>
          <w:lang w:val="x-none" w:eastAsia="x-none"/>
        </w:rPr>
        <w:t xml:space="preserve"> całkowity koszt kredytu ponoszony przez </w:t>
      </w:r>
      <w:r w:rsidR="00D63B4A" w:rsidRPr="0073487D">
        <w:rPr>
          <w:rFonts w:asciiTheme="minorHAnsi" w:hAnsiTheme="minorHAnsi" w:cstheme="minorHAnsi"/>
          <w:lang w:eastAsia="x-none"/>
        </w:rPr>
        <w:t>Kredytobiorcę</w:t>
      </w:r>
      <w:r w:rsidR="00D63B4A" w:rsidRPr="0073487D">
        <w:rPr>
          <w:rFonts w:asciiTheme="minorHAnsi" w:hAnsiTheme="minorHAnsi" w:cstheme="minorHAnsi"/>
          <w:lang w:val="x-none" w:eastAsia="x-none"/>
        </w:rPr>
        <w:t>, wyrażona jako wartość procentowa całkowitej kwoty kredytu w stosunku rocznym, która ustalania jest przy uwzględnieniu:</w:t>
      </w:r>
    </w:p>
    <w:p w14:paraId="73E49CEC" w14:textId="77777777" w:rsidR="00D63B4A" w:rsidRPr="0073487D" w:rsidRDefault="00D63B4A" w:rsidP="0073487D">
      <w:pPr>
        <w:widowControl w:val="0"/>
        <w:numPr>
          <w:ilvl w:val="0"/>
          <w:numId w:val="12"/>
        </w:numPr>
        <w:adjustRightInd w:val="0"/>
        <w:spacing w:after="120"/>
        <w:jc w:val="both"/>
        <w:textAlignment w:val="baseline"/>
        <w:rPr>
          <w:rFonts w:asciiTheme="minorHAnsi" w:hAnsiTheme="minorHAnsi" w:cstheme="minorHAnsi"/>
          <w:lang w:val="x-none" w:eastAsia="x-none"/>
        </w:rPr>
      </w:pPr>
      <w:r w:rsidRPr="0073487D">
        <w:rPr>
          <w:rFonts w:asciiTheme="minorHAnsi" w:hAnsiTheme="minorHAnsi" w:cstheme="minorHAnsi"/>
          <w:lang w:val="x-none" w:eastAsia="x-none"/>
        </w:rPr>
        <w:t>całkowitego kosztu kredytu ponoszonego przez Kredytobiorcę, z wyłączeniem opłat z tytułu niewykonania swoich zobowiązań wynikających z Umowy kredytu,</w:t>
      </w:r>
    </w:p>
    <w:p w14:paraId="24650020" w14:textId="2ECED90F" w:rsidR="00D63B4A" w:rsidRPr="0073487D" w:rsidRDefault="00D63B4A" w:rsidP="0073487D">
      <w:pPr>
        <w:widowControl w:val="0"/>
        <w:numPr>
          <w:ilvl w:val="0"/>
          <w:numId w:val="12"/>
        </w:numPr>
        <w:adjustRightInd w:val="0"/>
        <w:spacing w:after="120"/>
        <w:jc w:val="both"/>
        <w:textAlignment w:val="baseline"/>
        <w:rPr>
          <w:rFonts w:asciiTheme="minorHAnsi" w:hAnsiTheme="minorHAnsi" w:cstheme="minorHAnsi"/>
          <w:lang w:eastAsia="x-none"/>
        </w:rPr>
      </w:pPr>
      <w:r w:rsidRPr="0073487D">
        <w:rPr>
          <w:rFonts w:asciiTheme="minorHAnsi" w:hAnsiTheme="minorHAnsi" w:cstheme="minorHAnsi"/>
          <w:lang w:val="x-none" w:eastAsia="x-none"/>
        </w:rPr>
        <w:t>kosztów prowadzenia rachunku, z którego są realizowane spłaty, kosztów transakcji płatniczych w zakresie poleceń przelewu z tego rachunku i wpłat na ten rachunek oraz innych kosztów związanych z tymi transakcjami, chyba, że otwarcie rachunku nie jest obowiązkowe, a koszty rachunku zostały w sposób jednoznaczny, zrozumiały i widoczny podane w Umowie o kredyt hipoteczny lub w innej umowie zawartej z Kredytobiorcą</w:t>
      </w:r>
      <w:r w:rsidR="00CB5299">
        <w:rPr>
          <w:rFonts w:asciiTheme="minorHAnsi" w:hAnsiTheme="minorHAnsi" w:cstheme="minorHAnsi"/>
          <w:lang w:val="x-none" w:eastAsia="x-none"/>
        </w:rPr>
        <w:t>.</w:t>
      </w:r>
    </w:p>
    <w:p w14:paraId="2D875AA3" w14:textId="5069EF7D" w:rsidR="00D63B4A" w:rsidRPr="0073487D" w:rsidRDefault="00D63B4A" w:rsidP="0073487D">
      <w:pPr>
        <w:jc w:val="both"/>
        <w:rPr>
          <w:rFonts w:asciiTheme="minorHAnsi" w:hAnsiTheme="minorHAnsi" w:cstheme="minorHAnsi"/>
        </w:rPr>
      </w:pPr>
      <w:r w:rsidRPr="00D6203B">
        <w:rPr>
          <w:rFonts w:asciiTheme="minorHAnsi" w:hAnsiTheme="minorHAnsi" w:cstheme="minorHAnsi"/>
          <w:b/>
          <w:bCs/>
        </w:rPr>
        <w:t>WIBOR 3M</w:t>
      </w:r>
      <w:r w:rsidRPr="0073487D">
        <w:rPr>
          <w:rFonts w:asciiTheme="minorHAnsi" w:hAnsiTheme="minorHAnsi" w:cstheme="minorHAnsi"/>
        </w:rPr>
        <w:t xml:space="preserve"> – </w:t>
      </w:r>
      <w:r w:rsidR="00B70F48" w:rsidRPr="0073487D">
        <w:rPr>
          <w:rFonts w:asciiTheme="minorHAnsi" w:hAnsiTheme="minorHAnsi" w:cstheme="minorHAnsi"/>
        </w:rPr>
        <w:t>wskaźnik referencyjny</w:t>
      </w:r>
      <w:r w:rsidRPr="0073487D">
        <w:rPr>
          <w:rFonts w:asciiTheme="minorHAnsi" w:hAnsiTheme="minorHAnsi" w:cstheme="minorHAnsi"/>
        </w:rPr>
        <w:t xml:space="preserve"> WIBOR (ang. Warsaw Interbank Offered Rate), któr</w:t>
      </w:r>
      <w:r w:rsidR="00B70F48" w:rsidRPr="0073487D">
        <w:rPr>
          <w:rFonts w:asciiTheme="minorHAnsi" w:hAnsiTheme="minorHAnsi" w:cstheme="minorHAnsi"/>
        </w:rPr>
        <w:t>y</w:t>
      </w:r>
      <w:r w:rsidRPr="0073487D">
        <w:rPr>
          <w:rFonts w:asciiTheme="minorHAnsi" w:hAnsiTheme="minorHAnsi" w:cstheme="minorHAnsi"/>
        </w:rPr>
        <w:t xml:space="preserve"> jest ustalan</w:t>
      </w:r>
      <w:r w:rsidR="00393BCC" w:rsidRPr="0073487D">
        <w:rPr>
          <w:rFonts w:asciiTheme="minorHAnsi" w:hAnsiTheme="minorHAnsi" w:cstheme="minorHAnsi"/>
        </w:rPr>
        <w:t>y</w:t>
      </w:r>
      <w:r w:rsidRPr="0073487D">
        <w:rPr>
          <w:rFonts w:asciiTheme="minorHAnsi" w:hAnsiTheme="minorHAnsi" w:cstheme="minorHAnsi"/>
        </w:rPr>
        <w:t xml:space="preserve"> zgodnie z Regulaminem Stawek Referencyjnych WIBID i WIBOR, przez administratora stawek referencyjnych, którym jest GPW Benchmark S.A. z siedzibą w Warszawie i publikowan</w:t>
      </w:r>
      <w:r w:rsidR="00393BCC" w:rsidRPr="0073487D">
        <w:rPr>
          <w:rFonts w:asciiTheme="minorHAnsi" w:hAnsiTheme="minorHAnsi" w:cstheme="minorHAnsi"/>
        </w:rPr>
        <w:t>y</w:t>
      </w:r>
      <w:r w:rsidRPr="0073487D">
        <w:rPr>
          <w:rFonts w:asciiTheme="minorHAnsi" w:hAnsiTheme="minorHAnsi" w:cstheme="minorHAnsi"/>
        </w:rPr>
        <w:t xml:space="preserve"> m.in. na stronie </w:t>
      </w:r>
      <w:hyperlink r:id="rId18" w:history="1">
        <w:r w:rsidRPr="0073487D">
          <w:rPr>
            <w:rFonts w:asciiTheme="minorHAnsi" w:hAnsiTheme="minorHAnsi" w:cstheme="minorHAnsi"/>
          </w:rPr>
          <w:t>https://gpwbenchmark.pl/</w:t>
        </w:r>
      </w:hyperlink>
    </w:p>
    <w:p w14:paraId="4F82C64C" w14:textId="2AE5396F" w:rsidR="00D63B4A" w:rsidRPr="0073487D" w:rsidRDefault="00D63B4A" w:rsidP="0073487D">
      <w:pPr>
        <w:jc w:val="both"/>
        <w:rPr>
          <w:rFonts w:asciiTheme="minorHAnsi" w:hAnsiTheme="minorHAnsi" w:cstheme="minorHAnsi"/>
        </w:rPr>
      </w:pPr>
      <w:r w:rsidRPr="0073487D">
        <w:rPr>
          <w:rFonts w:asciiTheme="minorHAnsi" w:hAnsiTheme="minorHAnsi" w:cstheme="minorHAnsi"/>
        </w:rPr>
        <w:t>Wysokość wskaźnika referencyjnego zależy pośrednio od wielu czynników, takich jak na przykład wysokość stóp procentowych ustalanych przez Radę Polityki Pieniężnej, inflacji, podaż pieniądza, cykl koniunkturalny, wysokość PKB czy zmiany sposobu wyznaczania wskaźnika przez administratora wskaźnika referencyjnego. Kredytobiorca powinien zapoznać się z kształtowaniem się danych historycznych dotyczących wysokości wskaźnika referencyjnego. Dotychczasowe trendy w zakresie kształtowania się wysokości wskaźnika referencyjnego mogą pomóc w wyborze oferty kredytowej, nie stanowią jednak żadnej gwarancji, że w przyszłości wskaźnik referencyjny podlegać będzie takim samym zmianom. Nie można przewidzieć, na jakim poziomie wskaźnik referencyjny będzie kształtował się za kilka, kilkanaście, a tym bardziej za kilkadziesiąt lat.</w:t>
      </w:r>
      <w:r w:rsidR="00B70F48" w:rsidRPr="0073487D">
        <w:rPr>
          <w:rFonts w:asciiTheme="minorHAnsi" w:hAnsiTheme="minorHAnsi" w:cstheme="minorHAnsi"/>
        </w:rPr>
        <w:t xml:space="preserve"> </w:t>
      </w:r>
    </w:p>
    <w:p w14:paraId="134658ED" w14:textId="77777777" w:rsidR="00B70F48" w:rsidRPr="0073487D" w:rsidRDefault="00B70F48" w:rsidP="0073487D">
      <w:pPr>
        <w:jc w:val="both"/>
        <w:rPr>
          <w:rFonts w:asciiTheme="minorHAnsi" w:hAnsiTheme="minorHAnsi" w:cstheme="minorHAnsi"/>
        </w:rPr>
      </w:pPr>
    </w:p>
    <w:p w14:paraId="6259922F" w14:textId="77777777" w:rsidR="00D6203B" w:rsidRDefault="00D6203B" w:rsidP="0073487D">
      <w:pPr>
        <w:jc w:val="both"/>
        <w:rPr>
          <w:rFonts w:asciiTheme="minorHAnsi" w:hAnsiTheme="minorHAnsi" w:cstheme="minorHAnsi"/>
          <w:b/>
          <w:bCs/>
        </w:rPr>
      </w:pPr>
    </w:p>
    <w:p w14:paraId="30FE3380" w14:textId="77777777" w:rsidR="00D6203B" w:rsidRDefault="00D6203B" w:rsidP="0073487D">
      <w:pPr>
        <w:jc w:val="both"/>
        <w:rPr>
          <w:rFonts w:asciiTheme="minorHAnsi" w:hAnsiTheme="minorHAnsi" w:cstheme="minorHAnsi"/>
          <w:b/>
          <w:bCs/>
        </w:rPr>
      </w:pPr>
    </w:p>
    <w:p w14:paraId="6671D68D" w14:textId="77777777" w:rsidR="00D6203B" w:rsidRDefault="00D6203B" w:rsidP="0073487D">
      <w:pPr>
        <w:jc w:val="both"/>
        <w:rPr>
          <w:rFonts w:asciiTheme="minorHAnsi" w:hAnsiTheme="minorHAnsi" w:cstheme="minorHAnsi"/>
          <w:b/>
          <w:bCs/>
        </w:rPr>
      </w:pPr>
    </w:p>
    <w:p w14:paraId="2AFEF353" w14:textId="77777777" w:rsidR="00D6203B" w:rsidRDefault="00D6203B" w:rsidP="0073487D">
      <w:pPr>
        <w:jc w:val="both"/>
        <w:rPr>
          <w:rFonts w:asciiTheme="minorHAnsi" w:hAnsiTheme="minorHAnsi" w:cstheme="minorHAnsi"/>
          <w:b/>
          <w:bCs/>
        </w:rPr>
      </w:pPr>
    </w:p>
    <w:p w14:paraId="0345912C" w14:textId="4525BA54" w:rsidR="00D63B4A" w:rsidRPr="0073487D" w:rsidRDefault="00D63B4A" w:rsidP="0073487D">
      <w:pPr>
        <w:jc w:val="both"/>
        <w:rPr>
          <w:rFonts w:asciiTheme="minorHAnsi" w:hAnsiTheme="minorHAnsi" w:cstheme="minorHAnsi"/>
        </w:rPr>
      </w:pPr>
      <w:r w:rsidRPr="00D6203B">
        <w:rPr>
          <w:rFonts w:asciiTheme="minorHAnsi" w:hAnsiTheme="minorHAnsi" w:cstheme="minorHAnsi"/>
          <w:b/>
          <w:bCs/>
        </w:rPr>
        <w:t xml:space="preserve">Wskaźnik </w:t>
      </w:r>
      <w:proofErr w:type="spellStart"/>
      <w:r w:rsidRPr="00D6203B">
        <w:rPr>
          <w:rFonts w:asciiTheme="minorHAnsi" w:hAnsiTheme="minorHAnsi" w:cstheme="minorHAnsi"/>
          <w:b/>
          <w:bCs/>
        </w:rPr>
        <w:t>DStI</w:t>
      </w:r>
      <w:proofErr w:type="spellEnd"/>
      <w:r w:rsidRPr="0073487D">
        <w:rPr>
          <w:rFonts w:asciiTheme="minorHAnsi" w:hAnsiTheme="minorHAnsi" w:cstheme="minorHAnsi"/>
        </w:rPr>
        <w:t xml:space="preserve"> (ang. </w:t>
      </w:r>
      <w:proofErr w:type="spellStart"/>
      <w:r w:rsidRPr="0073487D">
        <w:rPr>
          <w:rFonts w:asciiTheme="minorHAnsi" w:hAnsiTheme="minorHAnsi" w:cstheme="minorHAnsi"/>
        </w:rPr>
        <w:t>debt</w:t>
      </w:r>
      <w:proofErr w:type="spellEnd"/>
      <w:r w:rsidRPr="0073487D">
        <w:rPr>
          <w:rFonts w:asciiTheme="minorHAnsi" w:hAnsiTheme="minorHAnsi" w:cstheme="minorHAnsi"/>
        </w:rPr>
        <w:t xml:space="preserve"> service to </w:t>
      </w:r>
      <w:proofErr w:type="spellStart"/>
      <w:r w:rsidRPr="0073487D">
        <w:rPr>
          <w:rFonts w:asciiTheme="minorHAnsi" w:hAnsiTheme="minorHAnsi" w:cstheme="minorHAnsi"/>
        </w:rPr>
        <w:t>income</w:t>
      </w:r>
      <w:proofErr w:type="spellEnd"/>
      <w:r w:rsidRPr="0073487D">
        <w:rPr>
          <w:rFonts w:asciiTheme="minorHAnsi" w:hAnsiTheme="minorHAnsi" w:cstheme="minorHAnsi"/>
        </w:rPr>
        <w:t xml:space="preserve">) – wskaźnik wyrażający stosunek całkowitych rocznych kosztów związanych z obsługą zobowiązań kredytowych i zobowiązań finansowych innych niż zobowiązania kredytowe (z których klient detaliczny nie może się wycofać, tj. wynikających m.in. z przepisów prawa lub mających charakter trwały i nieodwołalny) do całkowitego rocznego dochodu klienta detalicznego. </w:t>
      </w:r>
    </w:p>
    <w:p w14:paraId="1EDEECD9" w14:textId="77777777" w:rsidR="00D63B4A" w:rsidRPr="005C1A32" w:rsidRDefault="00D63B4A" w:rsidP="0073487D">
      <w:pPr>
        <w:pStyle w:val="Default"/>
        <w:jc w:val="both"/>
        <w:rPr>
          <w:rFonts w:asciiTheme="minorHAnsi" w:hAnsiTheme="minorHAnsi" w:cstheme="minorHAnsi"/>
          <w:color w:val="auto"/>
          <w:sz w:val="10"/>
          <w:szCs w:val="10"/>
        </w:rPr>
      </w:pPr>
    </w:p>
    <w:p w14:paraId="69310C96" w14:textId="77777777" w:rsidR="00D63B4A" w:rsidRPr="0073487D" w:rsidRDefault="00D63B4A" w:rsidP="0073487D">
      <w:pPr>
        <w:pStyle w:val="Default"/>
        <w:jc w:val="both"/>
        <w:rPr>
          <w:rFonts w:asciiTheme="minorHAnsi" w:hAnsiTheme="minorHAnsi" w:cstheme="minorHAnsi"/>
          <w:color w:val="auto"/>
          <w:sz w:val="20"/>
          <w:szCs w:val="20"/>
        </w:rPr>
      </w:pPr>
      <w:r w:rsidRPr="00D6203B">
        <w:rPr>
          <w:rFonts w:asciiTheme="minorHAnsi" w:hAnsiTheme="minorHAnsi" w:cstheme="minorHAnsi"/>
          <w:b/>
          <w:bCs/>
          <w:color w:val="auto"/>
          <w:sz w:val="20"/>
          <w:szCs w:val="20"/>
        </w:rPr>
        <w:t xml:space="preserve">Wskaźnik </w:t>
      </w:r>
      <w:proofErr w:type="spellStart"/>
      <w:r w:rsidRPr="00D6203B">
        <w:rPr>
          <w:rFonts w:asciiTheme="minorHAnsi" w:hAnsiTheme="minorHAnsi" w:cstheme="minorHAnsi"/>
          <w:b/>
          <w:bCs/>
          <w:color w:val="auto"/>
          <w:sz w:val="20"/>
          <w:szCs w:val="20"/>
        </w:rPr>
        <w:t>LtV</w:t>
      </w:r>
      <w:proofErr w:type="spellEnd"/>
      <w:r w:rsidRPr="0073487D">
        <w:rPr>
          <w:rFonts w:asciiTheme="minorHAnsi" w:hAnsiTheme="minorHAnsi" w:cstheme="minorHAnsi"/>
          <w:color w:val="auto"/>
          <w:sz w:val="20"/>
          <w:szCs w:val="20"/>
        </w:rPr>
        <w:t xml:space="preserve"> (ang. </w:t>
      </w:r>
      <w:proofErr w:type="spellStart"/>
      <w:r w:rsidRPr="0073487D">
        <w:rPr>
          <w:rFonts w:asciiTheme="minorHAnsi" w:hAnsiTheme="minorHAnsi" w:cstheme="minorHAnsi"/>
          <w:color w:val="auto"/>
          <w:sz w:val="20"/>
          <w:szCs w:val="20"/>
        </w:rPr>
        <w:t>loan</w:t>
      </w:r>
      <w:proofErr w:type="spellEnd"/>
      <w:r w:rsidRPr="0073487D">
        <w:rPr>
          <w:rFonts w:asciiTheme="minorHAnsi" w:hAnsiTheme="minorHAnsi" w:cstheme="minorHAnsi"/>
          <w:color w:val="auto"/>
          <w:sz w:val="20"/>
          <w:szCs w:val="20"/>
        </w:rPr>
        <w:t xml:space="preserve"> to </w:t>
      </w:r>
      <w:proofErr w:type="spellStart"/>
      <w:r w:rsidRPr="0073487D">
        <w:rPr>
          <w:rFonts w:asciiTheme="minorHAnsi" w:hAnsiTheme="minorHAnsi" w:cstheme="minorHAnsi"/>
          <w:color w:val="auto"/>
          <w:sz w:val="20"/>
          <w:szCs w:val="20"/>
        </w:rPr>
        <w:t>value</w:t>
      </w:r>
      <w:proofErr w:type="spellEnd"/>
      <w:r w:rsidRPr="0073487D">
        <w:rPr>
          <w:rFonts w:asciiTheme="minorHAnsi" w:hAnsiTheme="minorHAnsi" w:cstheme="minorHAnsi"/>
          <w:color w:val="auto"/>
          <w:sz w:val="20"/>
          <w:szCs w:val="20"/>
        </w:rPr>
        <w:t xml:space="preserve">) – wskaźnik wyrażający stosunek ekspozycji kredytowej do wartości nieruchomości </w:t>
      </w:r>
    </w:p>
    <w:p w14:paraId="19BCB97A" w14:textId="77777777" w:rsidR="001B4D72" w:rsidRPr="0073487D" w:rsidRDefault="001B4D72" w:rsidP="0073487D">
      <w:pPr>
        <w:ind w:left="360"/>
        <w:jc w:val="both"/>
        <w:rPr>
          <w:rFonts w:asciiTheme="minorHAnsi" w:hAnsiTheme="minorHAnsi" w:cstheme="minorHAnsi"/>
        </w:rPr>
      </w:pPr>
    </w:p>
    <w:p w14:paraId="78242EC5" w14:textId="7C5A59B4" w:rsidR="001B4D72" w:rsidRPr="0073487D" w:rsidRDefault="002F5F5F" w:rsidP="0073487D">
      <w:pPr>
        <w:ind w:left="360"/>
        <w:jc w:val="both"/>
        <w:rPr>
          <w:rFonts w:asciiTheme="minorHAnsi" w:hAnsiTheme="minorHAnsi" w:cstheme="minorHAnsi"/>
          <w:b/>
          <w:u w:val="single"/>
        </w:rPr>
      </w:pPr>
      <w:r w:rsidRPr="0073487D">
        <w:rPr>
          <w:rFonts w:asciiTheme="minorHAnsi" w:hAnsiTheme="minorHAnsi" w:cstheme="minorHAnsi"/>
          <w:b/>
          <w:noProof/>
          <w:u w:val="single"/>
        </w:rPr>
        <mc:AlternateContent>
          <mc:Choice Requires="wps">
            <w:drawing>
              <wp:anchor distT="0" distB="0" distL="114300" distR="114300" simplePos="0" relativeHeight="251661312" behindDoc="0" locked="0" layoutInCell="1" allowOverlap="1" wp14:anchorId="41431A8B" wp14:editId="404827DD">
                <wp:simplePos x="0" y="0"/>
                <wp:positionH relativeFrom="column">
                  <wp:posOffset>52705</wp:posOffset>
                </wp:positionH>
                <wp:positionV relativeFrom="paragraph">
                  <wp:posOffset>55245</wp:posOffset>
                </wp:positionV>
                <wp:extent cx="6527800" cy="199390"/>
                <wp:effectExtent l="0" t="0" r="6350" b="0"/>
                <wp:wrapNone/>
                <wp:docPr id="8"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199390"/>
                        </a:xfrm>
                        <a:prstGeom prst="rect">
                          <a:avLst/>
                        </a:prstGeom>
                        <a:solidFill>
                          <a:srgbClr val="00926C"/>
                        </a:solidFill>
                        <a:ln w="9525">
                          <a:solidFill>
                            <a:srgbClr val="000000"/>
                          </a:solidFill>
                          <a:miter lim="800000"/>
                          <a:headEnd/>
                          <a:tailEnd/>
                        </a:ln>
                      </wps:spPr>
                      <wps:txbx>
                        <w:txbxContent>
                          <w:p w14:paraId="36BCF66C" w14:textId="77777777" w:rsidR="001B4D72" w:rsidRPr="00302074" w:rsidRDefault="001B4D72" w:rsidP="001B4D72">
                            <w:pPr>
                              <w:rPr>
                                <w:rFonts w:asciiTheme="minorHAnsi" w:hAnsiTheme="minorHAnsi" w:cstheme="minorHAnsi"/>
                                <w:b/>
                                <w:color w:val="FFFFFF"/>
                                <w:sz w:val="18"/>
                              </w:rPr>
                            </w:pPr>
                            <w:r w:rsidRPr="00302074">
                              <w:rPr>
                                <w:rFonts w:asciiTheme="minorHAnsi" w:hAnsiTheme="minorHAnsi" w:cstheme="minorHAnsi"/>
                                <w:b/>
                                <w:color w:val="FFFFFF"/>
                                <w:sz w:val="18"/>
                              </w:rPr>
                              <w:t>PODSUMOWANIE</w:t>
                            </w:r>
                          </w:p>
                          <w:p w14:paraId="0A464E0D" w14:textId="77777777" w:rsidR="001B4D72" w:rsidRPr="00DD1C16" w:rsidRDefault="001B4D72" w:rsidP="001B4D72">
                            <w:pPr>
                              <w:rPr>
                                <w:b/>
                                <w:color w:val="FFFFFF"/>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1A8B" id="_x0000_s1033" style="position:absolute;left:0;text-align:left;margin-left:4.15pt;margin-top:4.35pt;width:514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" fillcolor="#00926c">
                <v:textbox inset=",0,,0">
                  <w:txbxContent>
                    <w:p w14:paraId="36BCF66C" w14:textId="77777777" w:rsidR="001B4D72" w:rsidRPr="00302074" w:rsidRDefault="001B4D72" w:rsidP="001B4D72">
                      <w:pPr>
                        <w:rPr>
                          <w:rFonts w:asciiTheme="minorHAnsi" w:hAnsiTheme="minorHAnsi" w:cstheme="minorHAnsi"/>
                          <w:b/>
                          <w:color w:val="FFFFFF"/>
                          <w:sz w:val="18"/>
                        </w:rPr>
                      </w:pPr>
                      <w:r w:rsidRPr="00302074">
                        <w:rPr>
                          <w:rFonts w:asciiTheme="minorHAnsi" w:hAnsiTheme="minorHAnsi" w:cstheme="minorHAnsi"/>
                          <w:b/>
                          <w:color w:val="FFFFFF"/>
                          <w:sz w:val="18"/>
                        </w:rPr>
                        <w:t>PODSUMOWANIE</w:t>
                      </w:r>
                    </w:p>
                    <w:p w14:paraId="0A464E0D" w14:textId="77777777" w:rsidR="001B4D72" w:rsidRPr="00DD1C16" w:rsidRDefault="001B4D72" w:rsidP="001B4D72">
                      <w:pPr>
                        <w:rPr>
                          <w:b/>
                          <w:color w:val="FFFFFF"/>
                          <w:sz w:val="18"/>
                        </w:rPr>
                      </w:pPr>
                    </w:p>
                  </w:txbxContent>
                </v:textbox>
              </v:rect>
            </w:pict>
          </mc:Fallback>
        </mc:AlternateContent>
      </w:r>
    </w:p>
    <w:p w14:paraId="1F233746" w14:textId="77777777" w:rsidR="001B4D72" w:rsidRPr="0073487D" w:rsidRDefault="001B4D72" w:rsidP="0073487D">
      <w:pPr>
        <w:ind w:left="360"/>
        <w:jc w:val="both"/>
        <w:rPr>
          <w:rFonts w:asciiTheme="minorHAnsi" w:hAnsiTheme="minorHAnsi" w:cstheme="minorHAnsi"/>
          <w:b/>
          <w:u w:val="single"/>
        </w:rPr>
      </w:pPr>
    </w:p>
    <w:p w14:paraId="250C4E13" w14:textId="77777777" w:rsidR="001B4D72" w:rsidRPr="0073487D" w:rsidRDefault="001B4D72" w:rsidP="0073487D">
      <w:pPr>
        <w:ind w:left="360"/>
        <w:jc w:val="both"/>
        <w:rPr>
          <w:rFonts w:asciiTheme="minorHAnsi" w:hAnsiTheme="minorHAnsi" w:cstheme="minorHAnsi"/>
        </w:rPr>
      </w:pPr>
    </w:p>
    <w:p w14:paraId="641BF9FB" w14:textId="26A79F7E" w:rsidR="001B4D72" w:rsidRPr="0073487D" w:rsidRDefault="001B4D72" w:rsidP="0073487D">
      <w:pPr>
        <w:jc w:val="both"/>
        <w:rPr>
          <w:rFonts w:asciiTheme="minorHAnsi" w:hAnsiTheme="minorHAnsi" w:cstheme="minorHAnsi"/>
        </w:rPr>
      </w:pPr>
      <w:r w:rsidRPr="0073487D">
        <w:rPr>
          <w:rFonts w:asciiTheme="minorHAnsi" w:hAnsiTheme="minorHAnsi" w:cstheme="minorHAnsi"/>
        </w:rPr>
        <w:t xml:space="preserve">Zmiany stopy procentowej będą powodować zmiany wysokości raty kredytu oprocentowanego według zmiennej stopy procentowej. Z tego względu, przy podejmowaniu decyzji, szczególnie dotyczących wieloletniego kredytu hipotecznego, </w:t>
      </w:r>
      <w:r w:rsidR="00B70F48" w:rsidRPr="0073487D">
        <w:rPr>
          <w:rFonts w:asciiTheme="minorHAnsi" w:hAnsiTheme="minorHAnsi" w:cstheme="minorHAnsi"/>
        </w:rPr>
        <w:t>powinniście Państwo</w:t>
      </w:r>
      <w:r w:rsidRPr="0073487D">
        <w:rPr>
          <w:rFonts w:asciiTheme="minorHAnsi" w:hAnsiTheme="minorHAnsi" w:cstheme="minorHAnsi"/>
        </w:rPr>
        <w:t xml:space="preserve"> brać pod uwagę długoterminowy trend na rynku, a nie tylko krótkotrwałe wahania stopy procentowej. Przed zawarciem umowy </w:t>
      </w:r>
      <w:r w:rsidR="00B70F48" w:rsidRPr="0073487D">
        <w:rPr>
          <w:rFonts w:asciiTheme="minorHAnsi" w:hAnsiTheme="minorHAnsi" w:cstheme="minorHAnsi"/>
        </w:rPr>
        <w:t>informujemy Państwa</w:t>
      </w:r>
      <w:r w:rsidRPr="0073487D">
        <w:rPr>
          <w:rFonts w:asciiTheme="minorHAnsi" w:hAnsiTheme="minorHAnsi" w:cstheme="minorHAnsi"/>
        </w:rPr>
        <w:t xml:space="preserve"> o kosztach i ryzykach związanych z kredytem. Ryzyko podjęcia decyzji i jej konsekwencji spoczywa na </w:t>
      </w:r>
      <w:r w:rsidR="00B70F48" w:rsidRPr="0073487D">
        <w:rPr>
          <w:rFonts w:asciiTheme="minorHAnsi" w:hAnsiTheme="minorHAnsi" w:cstheme="minorHAnsi"/>
        </w:rPr>
        <w:t>Państwu. P</w:t>
      </w:r>
      <w:r w:rsidRPr="0073487D">
        <w:rPr>
          <w:rFonts w:asciiTheme="minorHAnsi" w:hAnsiTheme="minorHAnsi" w:cstheme="minorHAnsi"/>
        </w:rPr>
        <w:t>ozostanie</w:t>
      </w:r>
      <w:r w:rsidR="00B70F48" w:rsidRPr="0073487D">
        <w:rPr>
          <w:rFonts w:asciiTheme="minorHAnsi" w:hAnsiTheme="minorHAnsi" w:cstheme="minorHAnsi"/>
        </w:rPr>
        <w:t>cie Państwo</w:t>
      </w:r>
      <w:r w:rsidRPr="0073487D">
        <w:rPr>
          <w:rFonts w:asciiTheme="minorHAnsi" w:hAnsiTheme="minorHAnsi" w:cstheme="minorHAnsi"/>
        </w:rPr>
        <w:t xml:space="preserve"> związan</w:t>
      </w:r>
      <w:r w:rsidR="00B70F48" w:rsidRPr="0073487D">
        <w:rPr>
          <w:rFonts w:asciiTheme="minorHAnsi" w:hAnsiTheme="minorHAnsi" w:cstheme="minorHAnsi"/>
        </w:rPr>
        <w:t>i z nami</w:t>
      </w:r>
      <w:r w:rsidRPr="0073487D">
        <w:rPr>
          <w:rFonts w:asciiTheme="minorHAnsi" w:hAnsiTheme="minorHAnsi" w:cstheme="minorHAnsi"/>
        </w:rPr>
        <w:t xml:space="preserve"> umową, zgodnie z którą przez kilka, kilkanaście albo </w:t>
      </w:r>
      <w:r w:rsidR="00B70F48" w:rsidRPr="0073487D">
        <w:rPr>
          <w:rFonts w:asciiTheme="minorHAnsi" w:hAnsiTheme="minorHAnsi" w:cstheme="minorHAnsi"/>
        </w:rPr>
        <w:t xml:space="preserve">nawet </w:t>
      </w:r>
      <w:r w:rsidRPr="0073487D">
        <w:rPr>
          <w:rFonts w:asciiTheme="minorHAnsi" w:hAnsiTheme="minorHAnsi" w:cstheme="minorHAnsi"/>
        </w:rPr>
        <w:t>kilkadziesiąt lat będzie</w:t>
      </w:r>
      <w:r w:rsidR="00B70F48" w:rsidRPr="0073487D">
        <w:rPr>
          <w:rFonts w:asciiTheme="minorHAnsi" w:hAnsiTheme="minorHAnsi" w:cstheme="minorHAnsi"/>
        </w:rPr>
        <w:t>cie Państwo</w:t>
      </w:r>
      <w:r w:rsidRPr="0073487D">
        <w:rPr>
          <w:rFonts w:asciiTheme="minorHAnsi" w:hAnsiTheme="minorHAnsi" w:cstheme="minorHAnsi"/>
        </w:rPr>
        <w:t xml:space="preserve"> spłaca</w:t>
      </w:r>
      <w:r w:rsidR="00B70F48" w:rsidRPr="0073487D">
        <w:rPr>
          <w:rFonts w:asciiTheme="minorHAnsi" w:hAnsiTheme="minorHAnsi" w:cstheme="minorHAnsi"/>
        </w:rPr>
        <w:t>li</w:t>
      </w:r>
      <w:r w:rsidRPr="0073487D">
        <w:rPr>
          <w:rFonts w:asciiTheme="minorHAnsi" w:hAnsiTheme="minorHAnsi" w:cstheme="minorHAnsi"/>
        </w:rPr>
        <w:t xml:space="preserve"> raty kredytu.</w:t>
      </w:r>
    </w:p>
    <w:p w14:paraId="2051EC2D" w14:textId="77777777" w:rsidR="001B4D72" w:rsidRPr="0073487D" w:rsidRDefault="001B4D72" w:rsidP="0073487D">
      <w:pPr>
        <w:jc w:val="both"/>
        <w:rPr>
          <w:rFonts w:asciiTheme="minorHAnsi" w:hAnsiTheme="minorHAnsi" w:cstheme="minorHAnsi"/>
        </w:rPr>
      </w:pPr>
    </w:p>
    <w:p w14:paraId="4C15EBB6" w14:textId="2FB8FC2F" w:rsidR="00CB5299" w:rsidRPr="006B106E" w:rsidRDefault="00CB5299" w:rsidP="00CB5299">
      <w:pPr>
        <w:jc w:val="both"/>
        <w:rPr>
          <w:rFonts w:ascii="Calibri" w:hAnsi="Calibri" w:cs="Calibri"/>
          <w:bCs/>
        </w:rPr>
      </w:pPr>
      <w:bookmarkStart w:id="2" w:name="2"/>
      <w:bookmarkEnd w:id="2"/>
      <w:r w:rsidRPr="006B106E">
        <w:rPr>
          <w:rFonts w:ascii="Calibri" w:hAnsi="Calibri" w:cs="Calibri"/>
          <w:bCs/>
        </w:rPr>
        <w:t xml:space="preserve">Prezentujemy Państwu symulacje kosztów odsetkowych i wysokości rat spłaty kredytu </w:t>
      </w:r>
      <w:bookmarkStart w:id="3" w:name="_Hlk481657483"/>
      <w:r w:rsidRPr="006B106E">
        <w:rPr>
          <w:rFonts w:ascii="Calibri" w:hAnsi="Calibri" w:cs="Calibri"/>
          <w:bCs/>
        </w:rPr>
        <w:t>dla poziomów stóp procentowych</w:t>
      </w:r>
      <w:bookmarkEnd w:id="3"/>
      <w:r w:rsidRPr="006B106E">
        <w:rPr>
          <w:rFonts w:ascii="Calibri" w:hAnsi="Calibri" w:cs="Calibri"/>
          <w:bCs/>
        </w:rPr>
        <w:t xml:space="preserve">: </w:t>
      </w:r>
    </w:p>
    <w:p w14:paraId="2FA89C71" w14:textId="3CD361AA" w:rsidR="00CB5299" w:rsidRPr="006B106E" w:rsidRDefault="00CB5299" w:rsidP="00CB5299">
      <w:pPr>
        <w:ind w:left="142"/>
        <w:jc w:val="both"/>
        <w:rPr>
          <w:rFonts w:ascii="Calibri" w:hAnsi="Calibri" w:cs="Calibri"/>
          <w:bCs/>
        </w:rPr>
      </w:pPr>
      <w:r w:rsidRPr="006B106E">
        <w:rPr>
          <w:rFonts w:ascii="Calibri" w:hAnsi="Calibri" w:cs="Calibri"/>
          <w:bCs/>
        </w:rPr>
        <w:t>1) przy aktualnym poziomie stopy referencyjnej, od której zależy jego oprocentowanie podwyższonej o marżę;</w:t>
      </w:r>
    </w:p>
    <w:p w14:paraId="72866ED2" w14:textId="70D66E25" w:rsidR="00CB5299" w:rsidRPr="006B106E" w:rsidRDefault="00CB5299" w:rsidP="00CB5299">
      <w:pPr>
        <w:ind w:left="142"/>
        <w:jc w:val="both"/>
        <w:rPr>
          <w:rFonts w:ascii="Calibri" w:hAnsi="Calibri" w:cs="Calibri"/>
          <w:bCs/>
        </w:rPr>
      </w:pPr>
      <w:r w:rsidRPr="006B106E">
        <w:rPr>
          <w:rFonts w:ascii="Calibri" w:hAnsi="Calibri" w:cs="Calibri"/>
          <w:bCs/>
        </w:rPr>
        <w:t>2) przy wzroście stopy referencyjnej, od której zależy jego oprocentowanie o 400 punktów bazowych;</w:t>
      </w:r>
    </w:p>
    <w:p w14:paraId="2A5658C4" w14:textId="5A772ECD" w:rsidR="00CB5299" w:rsidRPr="006B106E" w:rsidRDefault="00CB5299" w:rsidP="00CB5299">
      <w:pPr>
        <w:ind w:left="142"/>
        <w:jc w:val="both"/>
        <w:rPr>
          <w:rFonts w:ascii="Calibri" w:hAnsi="Calibri" w:cs="Calibri"/>
          <w:bCs/>
        </w:rPr>
      </w:pPr>
      <w:r w:rsidRPr="006B106E">
        <w:rPr>
          <w:rFonts w:ascii="Calibri" w:hAnsi="Calibri" w:cs="Calibri"/>
          <w:bCs/>
        </w:rPr>
        <w:t xml:space="preserve">3) przy wzroście stopy referencyjnej, od której zależy jego oprocentowanie w skali odpowiadającej różnicy między maksymalnym i minimalnym poziomem stopy procentowej w </w:t>
      </w:r>
      <w:r w:rsidR="00A36331" w:rsidRPr="006B106E">
        <w:rPr>
          <w:rFonts w:asciiTheme="minorHAnsi" w:hAnsiTheme="minorHAnsi"/>
        </w:rPr>
        <w:t>okresie poprzedzającym datę sporządzenia informacji równym co najmniej planowanemu okresowi kredytowania;</w:t>
      </w:r>
    </w:p>
    <w:p w14:paraId="4D980F06" w14:textId="77777777" w:rsidR="00CB5299" w:rsidRPr="006B106E" w:rsidRDefault="00CB5299" w:rsidP="00CB5299">
      <w:pPr>
        <w:ind w:left="142"/>
        <w:jc w:val="both"/>
        <w:rPr>
          <w:rFonts w:ascii="Calibri" w:hAnsi="Calibri" w:cs="Calibri"/>
          <w:bCs/>
        </w:rPr>
      </w:pPr>
      <w:r w:rsidRPr="006B106E">
        <w:rPr>
          <w:rFonts w:ascii="Calibri" w:hAnsi="Calibri" w:cs="Calibri"/>
          <w:bCs/>
        </w:rPr>
        <w:t>4) dla poziomów stóp procentowych 3%, 5%, 10 % powiększonych o marżę.</w:t>
      </w:r>
    </w:p>
    <w:p w14:paraId="5D853F61" w14:textId="77777777" w:rsidR="00CB5299" w:rsidRDefault="00CB5299" w:rsidP="00CB5299">
      <w:pPr>
        <w:jc w:val="both"/>
        <w:rPr>
          <w:rFonts w:ascii="Arial" w:hAnsi="Arial" w:cs="Arial"/>
          <w:sz w:val="18"/>
          <w:szCs w:val="18"/>
        </w:rPr>
      </w:pPr>
    </w:p>
    <w:p w14:paraId="379B501B" w14:textId="77777777" w:rsidR="005C1A32" w:rsidRPr="005C1A32" w:rsidRDefault="005C1A32" w:rsidP="00CB5299">
      <w:pPr>
        <w:jc w:val="both"/>
        <w:rPr>
          <w:rFonts w:ascii="Arial" w:hAnsi="Arial" w:cs="Arial"/>
          <w:sz w:val="2"/>
          <w:szCs w:val="2"/>
        </w:rPr>
      </w:pPr>
    </w:p>
    <w:p w14:paraId="261F7731" w14:textId="77777777" w:rsidR="00831979" w:rsidRPr="00831979" w:rsidRDefault="00831979" w:rsidP="00831979">
      <w:pPr>
        <w:jc w:val="both"/>
        <w:rPr>
          <w:rFonts w:asciiTheme="minorHAnsi" w:hAnsiTheme="minorHAnsi" w:cstheme="minorHAnsi"/>
          <w:b/>
          <w:bCs/>
        </w:rPr>
      </w:pPr>
      <w:r w:rsidRPr="00831979">
        <w:rPr>
          <w:rFonts w:asciiTheme="minorHAnsi" w:hAnsiTheme="minorHAnsi" w:cstheme="minorHAnsi"/>
          <w:b/>
          <w:bCs/>
        </w:rPr>
        <w:t>Ważne:</w:t>
      </w:r>
    </w:p>
    <w:p w14:paraId="202C4EBF" w14:textId="77777777" w:rsidR="00831979" w:rsidRPr="00831979" w:rsidRDefault="00831979" w:rsidP="00831979">
      <w:pPr>
        <w:jc w:val="both"/>
        <w:rPr>
          <w:rFonts w:asciiTheme="minorHAnsi" w:hAnsiTheme="minorHAnsi" w:cstheme="minorHAnsi"/>
          <w:b/>
          <w:bCs/>
        </w:rPr>
      </w:pPr>
      <w:r w:rsidRPr="00831979">
        <w:rPr>
          <w:rFonts w:asciiTheme="minorHAnsi" w:hAnsiTheme="minorHAnsi" w:cstheme="minorHAnsi"/>
          <w:b/>
          <w:bCs/>
        </w:rPr>
        <w:t>Powyższa informacja nie może być jedyną podstawą dla Państwa do podjęcia decyzji o wyborze oferty kredytowej. Przedstawione przez nas zapisy mają charakter informacyjny i uwzględniają zapisy Rekomendacji S oraz Rekomendacji T Komisji Nadzoru Finansowego.</w:t>
      </w:r>
    </w:p>
    <w:p w14:paraId="59998D7F" w14:textId="77777777" w:rsidR="00F5334F" w:rsidRDefault="00CB5299" w:rsidP="00CB5299">
      <w:pPr>
        <w:jc w:val="both"/>
        <w:rPr>
          <w:rFonts w:ascii="Arial" w:hAnsi="Arial" w:cs="Arial"/>
          <w:sz w:val="18"/>
          <w:szCs w:val="18"/>
        </w:rPr>
      </w:pP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r>
      <w:r w:rsidRPr="00E842A3">
        <w:rPr>
          <w:rFonts w:ascii="Arial" w:hAnsi="Arial" w:cs="Arial"/>
          <w:sz w:val="18"/>
          <w:szCs w:val="18"/>
        </w:rPr>
        <w:tab/>
        <w:t xml:space="preserve">          </w:t>
      </w:r>
    </w:p>
    <w:p w14:paraId="05D6EAAD" w14:textId="77777777" w:rsidR="003720CD" w:rsidRDefault="003720CD" w:rsidP="00F5334F">
      <w:pPr>
        <w:ind w:left="5100" w:firstLine="425"/>
        <w:jc w:val="both"/>
        <w:rPr>
          <w:rFonts w:ascii="Arial" w:hAnsi="Arial" w:cs="Arial"/>
          <w:sz w:val="18"/>
          <w:szCs w:val="18"/>
        </w:rPr>
      </w:pPr>
    </w:p>
    <w:p w14:paraId="3DA6F926" w14:textId="77777777" w:rsidR="005C1A32" w:rsidRDefault="005C1A32" w:rsidP="00F5334F">
      <w:pPr>
        <w:ind w:left="5100" w:firstLine="425"/>
        <w:jc w:val="both"/>
        <w:rPr>
          <w:rFonts w:ascii="Arial" w:hAnsi="Arial" w:cs="Arial"/>
          <w:sz w:val="18"/>
          <w:szCs w:val="18"/>
        </w:rPr>
      </w:pPr>
    </w:p>
    <w:p w14:paraId="5BDD6326" w14:textId="0D6564C1" w:rsidR="00CB5299" w:rsidRPr="00E842A3" w:rsidRDefault="00CB5299" w:rsidP="00F5334F">
      <w:pPr>
        <w:ind w:left="5100" w:firstLine="425"/>
        <w:jc w:val="both"/>
        <w:rPr>
          <w:rFonts w:ascii="Arial" w:hAnsi="Arial" w:cs="Arial"/>
          <w:sz w:val="18"/>
          <w:szCs w:val="18"/>
        </w:rPr>
      </w:pPr>
      <w:r w:rsidRPr="00E842A3">
        <w:rPr>
          <w:rFonts w:ascii="Arial" w:hAnsi="Arial" w:cs="Arial"/>
          <w:sz w:val="18"/>
          <w:szCs w:val="18"/>
        </w:rPr>
        <w:t xml:space="preserve"> Zapoznałem/</w:t>
      </w:r>
      <w:proofErr w:type="spellStart"/>
      <w:r w:rsidRPr="00E842A3">
        <w:rPr>
          <w:rFonts w:ascii="Arial" w:hAnsi="Arial" w:cs="Arial"/>
          <w:sz w:val="18"/>
          <w:szCs w:val="18"/>
        </w:rPr>
        <w:t>am</w:t>
      </w:r>
      <w:proofErr w:type="spellEnd"/>
      <w:r w:rsidRPr="00E842A3">
        <w:rPr>
          <w:rFonts w:ascii="Arial" w:hAnsi="Arial" w:cs="Arial"/>
          <w:sz w:val="18"/>
          <w:szCs w:val="18"/>
        </w:rPr>
        <w:t xml:space="preserve"> się z powyższą informacją</w:t>
      </w:r>
    </w:p>
    <w:p w14:paraId="57318CC2" w14:textId="77777777" w:rsidR="00CB5299" w:rsidRPr="00E842A3" w:rsidRDefault="00CB5299" w:rsidP="00CB5299">
      <w:pPr>
        <w:widowControl w:val="0"/>
        <w:tabs>
          <w:tab w:val="left" w:pos="498"/>
          <w:tab w:val="left" w:pos="726"/>
          <w:tab w:val="left" w:pos="783"/>
          <w:tab w:val="left" w:pos="1011"/>
          <w:tab w:val="left" w:pos="1182"/>
          <w:tab w:val="left" w:pos="1440"/>
          <w:tab w:val="left" w:pos="2160"/>
          <w:tab w:val="left" w:pos="2880"/>
        </w:tabs>
        <w:spacing w:line="360" w:lineRule="auto"/>
        <w:rPr>
          <w:rFonts w:ascii="Arial" w:hAnsi="Arial" w:cs="Arial"/>
          <w:sz w:val="18"/>
          <w:szCs w:val="18"/>
        </w:rPr>
      </w:pPr>
    </w:p>
    <w:p w14:paraId="22F1D428" w14:textId="77777777" w:rsidR="00CB5299" w:rsidRDefault="00CB5299" w:rsidP="00CB5299">
      <w:pPr>
        <w:widowControl w:val="0"/>
        <w:tabs>
          <w:tab w:val="left" w:pos="498"/>
          <w:tab w:val="left" w:pos="726"/>
          <w:tab w:val="left" w:pos="783"/>
          <w:tab w:val="left" w:pos="1011"/>
          <w:tab w:val="left" w:pos="1182"/>
          <w:tab w:val="left" w:pos="1440"/>
          <w:tab w:val="left" w:pos="2160"/>
          <w:tab w:val="left" w:pos="2880"/>
        </w:tabs>
        <w:spacing w:line="360" w:lineRule="auto"/>
        <w:rPr>
          <w:rFonts w:ascii="Arial" w:hAnsi="Arial" w:cs="Arial"/>
          <w:sz w:val="18"/>
          <w:szCs w:val="18"/>
        </w:rPr>
      </w:pPr>
    </w:p>
    <w:p w14:paraId="2419C6A5" w14:textId="77777777" w:rsidR="005C1A32" w:rsidRDefault="005C1A32" w:rsidP="00CB5299">
      <w:pPr>
        <w:widowControl w:val="0"/>
        <w:tabs>
          <w:tab w:val="left" w:pos="498"/>
          <w:tab w:val="left" w:pos="726"/>
          <w:tab w:val="left" w:pos="783"/>
          <w:tab w:val="left" w:pos="1011"/>
          <w:tab w:val="left" w:pos="1182"/>
          <w:tab w:val="left" w:pos="1440"/>
          <w:tab w:val="left" w:pos="2160"/>
          <w:tab w:val="left" w:pos="2880"/>
        </w:tabs>
        <w:spacing w:line="360" w:lineRule="auto"/>
        <w:rPr>
          <w:rFonts w:ascii="Arial" w:hAnsi="Arial" w:cs="Arial"/>
          <w:sz w:val="18"/>
          <w:szCs w:val="18"/>
        </w:rPr>
      </w:pPr>
    </w:p>
    <w:p w14:paraId="21D4AC72" w14:textId="77777777" w:rsidR="005C1A32" w:rsidRPr="00E842A3" w:rsidRDefault="005C1A32" w:rsidP="00CB5299">
      <w:pPr>
        <w:widowControl w:val="0"/>
        <w:tabs>
          <w:tab w:val="left" w:pos="498"/>
          <w:tab w:val="left" w:pos="726"/>
          <w:tab w:val="left" w:pos="783"/>
          <w:tab w:val="left" w:pos="1011"/>
          <w:tab w:val="left" w:pos="1182"/>
          <w:tab w:val="left" w:pos="1440"/>
          <w:tab w:val="left" w:pos="2160"/>
          <w:tab w:val="left" w:pos="2880"/>
        </w:tabs>
        <w:spacing w:line="360" w:lineRule="auto"/>
        <w:rPr>
          <w:rFonts w:ascii="Arial" w:hAnsi="Arial" w:cs="Arial"/>
          <w:sz w:val="18"/>
          <w:szCs w:val="18"/>
        </w:rPr>
      </w:pPr>
    </w:p>
    <w:p w14:paraId="3264C8AA" w14:textId="0040B7BE" w:rsidR="00CB5299" w:rsidRPr="00E842A3" w:rsidRDefault="00A87A32" w:rsidP="00CB5299">
      <w:pPr>
        <w:widowControl w:val="0"/>
        <w:tabs>
          <w:tab w:val="left" w:pos="498"/>
          <w:tab w:val="left" w:pos="726"/>
          <w:tab w:val="left" w:pos="783"/>
          <w:tab w:val="left" w:pos="1011"/>
          <w:tab w:val="left" w:pos="1182"/>
          <w:tab w:val="left" w:pos="1440"/>
          <w:tab w:val="left" w:pos="2160"/>
          <w:tab w:val="left" w:pos="2880"/>
        </w:tabs>
        <w:ind w:left="5664"/>
        <w:rPr>
          <w:rFonts w:ascii="Arial" w:hAnsi="Arial" w:cs="Arial"/>
          <w:sz w:val="16"/>
          <w:szCs w:val="16"/>
        </w:rPr>
      </w:pPr>
      <w:r>
        <w:rPr>
          <w:rFonts w:ascii="Arial" w:hAnsi="Arial" w:cs="Arial"/>
          <w:sz w:val="18"/>
          <w:szCs w:val="18"/>
        </w:rPr>
        <w:t>……………………………………….……..</w:t>
      </w:r>
    </w:p>
    <w:p w14:paraId="5F72FC32" w14:textId="7BFB53B1" w:rsidR="00CB5299" w:rsidRPr="00E842A3" w:rsidRDefault="00CB5299" w:rsidP="00CB5299">
      <w:pPr>
        <w:widowControl w:val="0"/>
        <w:tabs>
          <w:tab w:val="left" w:pos="498"/>
          <w:tab w:val="left" w:pos="726"/>
          <w:tab w:val="left" w:pos="783"/>
          <w:tab w:val="left" w:pos="1011"/>
          <w:tab w:val="left" w:pos="1182"/>
          <w:tab w:val="left" w:pos="1440"/>
          <w:tab w:val="left" w:pos="2160"/>
          <w:tab w:val="left" w:pos="2880"/>
        </w:tabs>
        <w:spacing w:line="360" w:lineRule="auto"/>
        <w:rPr>
          <w:rFonts w:ascii="Arial" w:hAnsi="Arial" w:cs="Arial"/>
        </w:rPr>
      </w:pPr>
      <w:r w:rsidRPr="00E842A3">
        <w:rPr>
          <w:rFonts w:ascii="Arial" w:hAnsi="Arial" w:cs="Arial"/>
          <w:sz w:val="16"/>
          <w:szCs w:val="16"/>
        </w:rPr>
        <w:t xml:space="preserve">  </w:t>
      </w:r>
      <w:r w:rsidRPr="00E842A3">
        <w:rPr>
          <w:rFonts w:ascii="Arial" w:hAnsi="Arial" w:cs="Arial"/>
          <w:sz w:val="16"/>
          <w:szCs w:val="16"/>
        </w:rPr>
        <w:tab/>
      </w:r>
      <w:r w:rsidRPr="00E842A3">
        <w:rPr>
          <w:rFonts w:ascii="Arial" w:hAnsi="Arial" w:cs="Arial"/>
          <w:sz w:val="16"/>
          <w:szCs w:val="16"/>
        </w:rPr>
        <w:tab/>
      </w:r>
      <w:r w:rsidRPr="00E842A3">
        <w:rPr>
          <w:rFonts w:ascii="Arial" w:hAnsi="Arial" w:cs="Arial"/>
          <w:sz w:val="16"/>
          <w:szCs w:val="16"/>
        </w:rPr>
        <w:tab/>
      </w:r>
      <w:r w:rsidRPr="00E842A3">
        <w:rPr>
          <w:rFonts w:ascii="Arial" w:hAnsi="Arial" w:cs="Arial"/>
          <w:sz w:val="16"/>
          <w:szCs w:val="16"/>
        </w:rPr>
        <w:tab/>
      </w:r>
      <w:r w:rsidRPr="00E842A3">
        <w:rPr>
          <w:rFonts w:ascii="Arial" w:hAnsi="Arial" w:cs="Arial"/>
          <w:sz w:val="16"/>
          <w:szCs w:val="16"/>
        </w:rPr>
        <w:tab/>
      </w:r>
      <w:r w:rsidRPr="00E842A3">
        <w:rPr>
          <w:rFonts w:ascii="Arial" w:hAnsi="Arial" w:cs="Arial"/>
          <w:sz w:val="16"/>
          <w:szCs w:val="16"/>
        </w:rPr>
        <w:tab/>
      </w:r>
      <w:r w:rsidRPr="00E842A3">
        <w:rPr>
          <w:rFonts w:ascii="Arial" w:hAnsi="Arial" w:cs="Arial"/>
          <w:sz w:val="16"/>
          <w:szCs w:val="16"/>
        </w:rPr>
        <w:tab/>
      </w:r>
      <w:r w:rsidRPr="00E842A3">
        <w:rPr>
          <w:rFonts w:ascii="Arial" w:hAnsi="Arial" w:cs="Arial"/>
          <w:sz w:val="16"/>
          <w:szCs w:val="16"/>
        </w:rPr>
        <w:tab/>
      </w:r>
      <w:r w:rsidRPr="00E842A3">
        <w:rPr>
          <w:rFonts w:ascii="Arial" w:hAnsi="Arial" w:cs="Arial"/>
          <w:sz w:val="16"/>
          <w:szCs w:val="16"/>
        </w:rPr>
        <w:tab/>
      </w:r>
      <w:r w:rsidRPr="00E842A3">
        <w:rPr>
          <w:rFonts w:ascii="Arial" w:hAnsi="Arial" w:cs="Arial"/>
          <w:sz w:val="16"/>
          <w:szCs w:val="16"/>
        </w:rPr>
        <w:tab/>
        <w:t xml:space="preserve">                                                   </w:t>
      </w:r>
      <w:r w:rsidR="00F5334F">
        <w:rPr>
          <w:rFonts w:ascii="Arial" w:hAnsi="Arial" w:cs="Arial"/>
          <w:sz w:val="16"/>
          <w:szCs w:val="16"/>
        </w:rPr>
        <w:t xml:space="preserve">            </w:t>
      </w:r>
      <w:r w:rsidRPr="00E842A3">
        <w:rPr>
          <w:rFonts w:ascii="Arial" w:hAnsi="Arial" w:cs="Arial"/>
          <w:sz w:val="16"/>
          <w:szCs w:val="16"/>
        </w:rPr>
        <w:t xml:space="preserve">  /Data i czytelny podpis Klienta/</w:t>
      </w:r>
    </w:p>
    <w:p w14:paraId="2910B1A3" w14:textId="77777777" w:rsidR="00CB5299" w:rsidRDefault="00CB5299" w:rsidP="0073487D">
      <w:pPr>
        <w:jc w:val="both"/>
        <w:rPr>
          <w:rFonts w:asciiTheme="minorHAnsi" w:hAnsiTheme="minorHAnsi" w:cstheme="minorHAnsi"/>
          <w:b/>
        </w:rPr>
      </w:pPr>
    </w:p>
    <w:p w14:paraId="16B0AEC5" w14:textId="77777777" w:rsidR="00831979" w:rsidRPr="0073487D" w:rsidRDefault="00831979">
      <w:pPr>
        <w:jc w:val="both"/>
        <w:rPr>
          <w:rFonts w:asciiTheme="minorHAnsi" w:hAnsiTheme="minorHAnsi" w:cstheme="minorHAnsi"/>
        </w:rPr>
      </w:pPr>
    </w:p>
    <w:sectPr w:rsidR="00831979" w:rsidRPr="0073487D" w:rsidSect="005239F7">
      <w:footerReference w:type="default" r:id="rId19"/>
      <w:footnotePr>
        <w:numRestart w:val="eachSect"/>
      </w:footnotePr>
      <w:pgSz w:w="11906" w:h="16838" w:code="9"/>
      <w:pgMar w:top="284" w:right="851" w:bottom="142" w:left="851" w:header="340" w:footer="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8CCD7" w14:textId="77777777" w:rsidR="00343143" w:rsidRDefault="00343143">
      <w:r>
        <w:separator/>
      </w:r>
    </w:p>
  </w:endnote>
  <w:endnote w:type="continuationSeparator" w:id="0">
    <w:p w14:paraId="571D6343" w14:textId="77777777" w:rsidR="00343143" w:rsidRDefault="00343143">
      <w:r>
        <w:continuationSeparator/>
      </w:r>
    </w:p>
  </w:endnote>
  <w:endnote w:type="continuationNotice" w:id="1">
    <w:p w14:paraId="4D692541" w14:textId="77777777" w:rsidR="00343143" w:rsidRDefault="00343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E">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859670"/>
      <w:docPartObj>
        <w:docPartGallery w:val="Page Numbers (Bottom of Page)"/>
        <w:docPartUnique/>
      </w:docPartObj>
    </w:sdtPr>
    <w:sdtContent>
      <w:p w14:paraId="64323ABA" w14:textId="178F24C3" w:rsidR="005239F7" w:rsidRDefault="005239F7">
        <w:pPr>
          <w:pStyle w:val="Stopka"/>
          <w:jc w:val="right"/>
        </w:pPr>
        <w:r>
          <w:fldChar w:fldCharType="begin"/>
        </w:r>
        <w:r>
          <w:instrText>PAGE   \* MERGEFORMAT</w:instrText>
        </w:r>
        <w:r>
          <w:fldChar w:fldCharType="separate"/>
        </w:r>
        <w:r w:rsidR="00B84568">
          <w:rPr>
            <w:noProof/>
          </w:rPr>
          <w:t>5</w:t>
        </w:r>
        <w:r>
          <w:fldChar w:fldCharType="end"/>
        </w:r>
      </w:p>
    </w:sdtContent>
  </w:sdt>
  <w:p w14:paraId="5B6C2469" w14:textId="77777777" w:rsidR="005239F7" w:rsidRDefault="005239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3C0B7" w14:textId="77777777" w:rsidR="00343143" w:rsidRDefault="00343143">
      <w:r>
        <w:separator/>
      </w:r>
    </w:p>
  </w:footnote>
  <w:footnote w:type="continuationSeparator" w:id="0">
    <w:p w14:paraId="6B78C3B6" w14:textId="77777777" w:rsidR="00343143" w:rsidRDefault="00343143">
      <w:r>
        <w:continuationSeparator/>
      </w:r>
    </w:p>
  </w:footnote>
  <w:footnote w:type="continuationNotice" w:id="1">
    <w:p w14:paraId="78B8D230" w14:textId="77777777" w:rsidR="00343143" w:rsidRDefault="00343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02BD"/>
    <w:multiLevelType w:val="multilevel"/>
    <w:tmpl w:val="0C0EBAFA"/>
    <w:lvl w:ilvl="0">
      <w:start w:val="1"/>
      <w:numFmt w:val="decimal"/>
      <w:lvlText w:val="%1."/>
      <w:lvlJc w:val="left"/>
      <w:pPr>
        <w:tabs>
          <w:tab w:val="num" w:pos="360"/>
        </w:tabs>
        <w:ind w:left="340" w:hanging="340"/>
      </w:pPr>
      <w:rPr>
        <w:rFonts w:ascii="Arial" w:hAnsi="Arial" w:cs="MS Mincho" w:hint="default"/>
        <w:b w:val="0"/>
        <w:i w:val="0"/>
        <w:sz w:val="14"/>
        <w:szCs w:val="14"/>
      </w:rPr>
    </w:lvl>
    <w:lvl w:ilvl="1">
      <w:start w:val="1"/>
      <w:numFmt w:val="decimal"/>
      <w:lvlText w:val="%2)"/>
      <w:lvlJc w:val="left"/>
      <w:pPr>
        <w:tabs>
          <w:tab w:val="num" w:pos="0"/>
        </w:tabs>
        <w:ind w:left="680" w:hanging="340"/>
      </w:pPr>
      <w:rPr>
        <w:rFonts w:hint="default"/>
      </w:rPr>
    </w:lvl>
    <w:lvl w:ilvl="2">
      <w:start w:val="1"/>
      <w:numFmt w:val="lowerLetter"/>
      <w:lvlText w:val="%3)"/>
      <w:lvlJc w:val="left"/>
      <w:pPr>
        <w:tabs>
          <w:tab w:val="num" w:pos="0"/>
        </w:tabs>
        <w:ind w:left="0" w:firstLine="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F7A7246"/>
    <w:multiLevelType w:val="hybridMultilevel"/>
    <w:tmpl w:val="1A1888AC"/>
    <w:lvl w:ilvl="0" w:tplc="C4BE4A5E">
      <w:start w:val="1"/>
      <w:numFmt w:val="lowerLetter"/>
      <w:lvlText w:val="%1)"/>
      <w:lvlJc w:val="left"/>
      <w:pPr>
        <w:ind w:left="644" w:hanging="360"/>
      </w:pPr>
      <w:rPr>
        <w:rFonts w:ascii="Calibri" w:hAnsi="Calibri" w:cs="Calibr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D66FA"/>
    <w:multiLevelType w:val="singleLevel"/>
    <w:tmpl w:val="D72C4F2C"/>
    <w:lvl w:ilvl="0">
      <w:start w:val="1"/>
      <w:numFmt w:val="lowerLetter"/>
      <w:pStyle w:val="Robertwyliczanie"/>
      <w:lvlText w:val="%1)"/>
      <w:lvlJc w:val="left"/>
      <w:pPr>
        <w:tabs>
          <w:tab w:val="num" w:pos="964"/>
        </w:tabs>
        <w:ind w:left="964" w:hanging="397"/>
      </w:pPr>
      <w:rPr>
        <w:b w:val="0"/>
        <w:i w:val="0"/>
        <w:sz w:val="22"/>
      </w:rPr>
    </w:lvl>
  </w:abstractNum>
  <w:abstractNum w:abstractNumId="3" w15:restartNumberingAfterBreak="0">
    <w:nsid w:val="133458A5"/>
    <w:multiLevelType w:val="hybridMultilevel"/>
    <w:tmpl w:val="448892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64675"/>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16004427"/>
    <w:multiLevelType w:val="hybridMultilevel"/>
    <w:tmpl w:val="873C7E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6448FA"/>
    <w:multiLevelType w:val="hybridMultilevel"/>
    <w:tmpl w:val="576081E8"/>
    <w:lvl w:ilvl="0" w:tplc="75A246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5450E8"/>
    <w:multiLevelType w:val="hybridMultilevel"/>
    <w:tmpl w:val="B2DAD75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3666218F"/>
    <w:multiLevelType w:val="singleLevel"/>
    <w:tmpl w:val="FA36A190"/>
    <w:lvl w:ilvl="0">
      <w:start w:val="1"/>
      <w:numFmt w:val="upperLetter"/>
      <w:pStyle w:val="Nagwek2"/>
      <w:lvlText w:val="%1-"/>
      <w:lvlJc w:val="left"/>
      <w:pPr>
        <w:tabs>
          <w:tab w:val="num" w:pos="360"/>
        </w:tabs>
        <w:ind w:left="360" w:hanging="360"/>
      </w:pPr>
      <w:rPr>
        <w:rFonts w:hint="default"/>
      </w:rPr>
    </w:lvl>
  </w:abstractNum>
  <w:abstractNum w:abstractNumId="9" w15:restartNumberingAfterBreak="0">
    <w:nsid w:val="3A1B5F73"/>
    <w:multiLevelType w:val="hybridMultilevel"/>
    <w:tmpl w:val="2612E14C"/>
    <w:lvl w:ilvl="0" w:tplc="3D3C79C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3E4E788A"/>
    <w:multiLevelType w:val="singleLevel"/>
    <w:tmpl w:val="73B6858C"/>
    <w:lvl w:ilvl="0">
      <w:start w:val="1"/>
      <w:numFmt w:val="decimal"/>
      <w:lvlText w:val="%1."/>
      <w:lvlJc w:val="left"/>
      <w:pPr>
        <w:tabs>
          <w:tab w:val="num" w:pos="425"/>
        </w:tabs>
        <w:ind w:left="425" w:hanging="425"/>
      </w:pPr>
    </w:lvl>
  </w:abstractNum>
  <w:abstractNum w:abstractNumId="11" w15:restartNumberingAfterBreak="0">
    <w:nsid w:val="3EA876AF"/>
    <w:multiLevelType w:val="multilevel"/>
    <w:tmpl w:val="F04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73C33"/>
    <w:multiLevelType w:val="hybridMultilevel"/>
    <w:tmpl w:val="52EEDF78"/>
    <w:lvl w:ilvl="0" w:tplc="04150017">
      <w:start w:val="1"/>
      <w:numFmt w:val="lowerLetter"/>
      <w:lvlText w:val="%1)"/>
      <w:lvlJc w:val="left"/>
      <w:pPr>
        <w:ind w:left="644"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0607AB"/>
    <w:multiLevelType w:val="hybridMultilevel"/>
    <w:tmpl w:val="F8F2EFDE"/>
    <w:lvl w:ilvl="0" w:tplc="AC98C3E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192480"/>
    <w:multiLevelType w:val="hybridMultilevel"/>
    <w:tmpl w:val="ABFEA5FE"/>
    <w:lvl w:ilvl="0" w:tplc="CEAE8B4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A35F2A"/>
    <w:multiLevelType w:val="multilevel"/>
    <w:tmpl w:val="518E36C4"/>
    <w:lvl w:ilvl="0">
      <w:start w:val="1"/>
      <w:numFmt w:val="decimal"/>
      <w:lvlText w:val="%1)"/>
      <w:lvlJc w:val="left"/>
      <w:pPr>
        <w:ind w:left="360" w:hanging="360"/>
      </w:pPr>
      <w:rPr>
        <w:b w:val="0"/>
        <w:i w:val="0"/>
      </w:rPr>
    </w:lvl>
    <w:lvl w:ilvl="1">
      <w:start w:val="1"/>
      <w:numFmt w:val="lowerLetter"/>
      <w:lvlText w:val="%2)"/>
      <w:lvlJc w:val="left"/>
      <w:pPr>
        <w:tabs>
          <w:tab w:val="num" w:pos="360"/>
        </w:tabs>
      </w:pPr>
    </w:lvl>
    <w:lvl w:ilvl="2">
      <w:start w:val="1"/>
      <w:numFmt w:val="lowerLetter"/>
      <w:lvlText w:val="%3)"/>
      <w:lvlJc w:val="left"/>
      <w:pPr>
        <w:ind w:left="1080" w:hanging="360"/>
      </w:pPr>
      <w:rPr>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lvl>
    <w:lvl w:ilvl="5">
      <w:numFmt w:val="none"/>
      <w:lvlText w:val=""/>
      <w:lvlJc w:val="left"/>
      <w:pPr>
        <w:tabs>
          <w:tab w:val="num" w:pos="360"/>
        </w:tabs>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1303782">
    <w:abstractNumId w:val="8"/>
  </w:num>
  <w:num w:numId="2" w16cid:durableId="1900701056">
    <w:abstractNumId w:val="2"/>
  </w:num>
  <w:num w:numId="3" w16cid:durableId="1849754504">
    <w:abstractNumId w:val="4"/>
  </w:num>
  <w:num w:numId="4" w16cid:durableId="614603093">
    <w:abstractNumId w:val="10"/>
  </w:num>
  <w:num w:numId="5" w16cid:durableId="2142115901">
    <w:abstractNumId w:val="13"/>
  </w:num>
  <w:num w:numId="6" w16cid:durableId="784932096">
    <w:abstractNumId w:val="0"/>
  </w:num>
  <w:num w:numId="7" w16cid:durableId="1057821529">
    <w:abstractNumId w:val="7"/>
  </w:num>
  <w:num w:numId="8" w16cid:durableId="1654992550">
    <w:abstractNumId w:val="11"/>
  </w:num>
  <w:num w:numId="9" w16cid:durableId="267391437">
    <w:abstractNumId w:val="6"/>
  </w:num>
  <w:num w:numId="10" w16cid:durableId="823855489">
    <w:abstractNumId w:val="15"/>
  </w:num>
  <w:num w:numId="11" w16cid:durableId="1173187438">
    <w:abstractNumId w:val="3"/>
  </w:num>
  <w:num w:numId="12" w16cid:durableId="1793354703">
    <w:abstractNumId w:val="9"/>
  </w:num>
  <w:num w:numId="13" w16cid:durableId="781340163">
    <w:abstractNumId w:val="1"/>
  </w:num>
  <w:num w:numId="14" w16cid:durableId="35009122">
    <w:abstractNumId w:val="14"/>
  </w:num>
  <w:num w:numId="15" w16cid:durableId="1877811169">
    <w:abstractNumId w:val="12"/>
  </w:num>
  <w:num w:numId="16" w16cid:durableId="1215584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4E4"/>
    <w:rsid w:val="000045F3"/>
    <w:rsid w:val="00011A07"/>
    <w:rsid w:val="00011E4D"/>
    <w:rsid w:val="00017C6D"/>
    <w:rsid w:val="00021C0D"/>
    <w:rsid w:val="000317E2"/>
    <w:rsid w:val="000335F0"/>
    <w:rsid w:val="00033E26"/>
    <w:rsid w:val="000359DE"/>
    <w:rsid w:val="00042C44"/>
    <w:rsid w:val="0004569F"/>
    <w:rsid w:val="000516A9"/>
    <w:rsid w:val="00052651"/>
    <w:rsid w:val="00067115"/>
    <w:rsid w:val="000711F0"/>
    <w:rsid w:val="00073E32"/>
    <w:rsid w:val="00075FA6"/>
    <w:rsid w:val="000762C3"/>
    <w:rsid w:val="000770C1"/>
    <w:rsid w:val="000817CD"/>
    <w:rsid w:val="00087396"/>
    <w:rsid w:val="0009607E"/>
    <w:rsid w:val="000A5717"/>
    <w:rsid w:val="000A5CAC"/>
    <w:rsid w:val="000A6488"/>
    <w:rsid w:val="000B2B16"/>
    <w:rsid w:val="000C1CEC"/>
    <w:rsid w:val="000C2E83"/>
    <w:rsid w:val="000C3A79"/>
    <w:rsid w:val="000C4F6D"/>
    <w:rsid w:val="000D1B39"/>
    <w:rsid w:val="000D2598"/>
    <w:rsid w:val="000E1C33"/>
    <w:rsid w:val="000E49EE"/>
    <w:rsid w:val="000E511A"/>
    <w:rsid w:val="000E51E3"/>
    <w:rsid w:val="000F3B66"/>
    <w:rsid w:val="000F5B5A"/>
    <w:rsid w:val="00100A22"/>
    <w:rsid w:val="00100AF5"/>
    <w:rsid w:val="00101F06"/>
    <w:rsid w:val="00104B72"/>
    <w:rsid w:val="0011203D"/>
    <w:rsid w:val="001147E2"/>
    <w:rsid w:val="00117F21"/>
    <w:rsid w:val="001209A9"/>
    <w:rsid w:val="001411C9"/>
    <w:rsid w:val="00141F73"/>
    <w:rsid w:val="0014379C"/>
    <w:rsid w:val="001701F1"/>
    <w:rsid w:val="00175655"/>
    <w:rsid w:val="001848BB"/>
    <w:rsid w:val="00195FC0"/>
    <w:rsid w:val="00197249"/>
    <w:rsid w:val="001974A4"/>
    <w:rsid w:val="001A4C9F"/>
    <w:rsid w:val="001B4D72"/>
    <w:rsid w:val="001C0C5B"/>
    <w:rsid w:val="001E42E8"/>
    <w:rsid w:val="001E75D1"/>
    <w:rsid w:val="001F12F0"/>
    <w:rsid w:val="001F4FFD"/>
    <w:rsid w:val="00205A19"/>
    <w:rsid w:val="00207A29"/>
    <w:rsid w:val="00220737"/>
    <w:rsid w:val="00222DD3"/>
    <w:rsid w:val="00226342"/>
    <w:rsid w:val="0022714A"/>
    <w:rsid w:val="0023020D"/>
    <w:rsid w:val="00235766"/>
    <w:rsid w:val="002357A2"/>
    <w:rsid w:val="00237C9A"/>
    <w:rsid w:val="002403C3"/>
    <w:rsid w:val="00240F43"/>
    <w:rsid w:val="00256237"/>
    <w:rsid w:val="002572BF"/>
    <w:rsid w:val="002604FA"/>
    <w:rsid w:val="0027206B"/>
    <w:rsid w:val="00273E37"/>
    <w:rsid w:val="00291579"/>
    <w:rsid w:val="002938D7"/>
    <w:rsid w:val="00293A07"/>
    <w:rsid w:val="00294F84"/>
    <w:rsid w:val="00296FB5"/>
    <w:rsid w:val="002973C5"/>
    <w:rsid w:val="002A5D59"/>
    <w:rsid w:val="002A7350"/>
    <w:rsid w:val="002B06B7"/>
    <w:rsid w:val="002C3FC5"/>
    <w:rsid w:val="002D4606"/>
    <w:rsid w:val="002D4CCF"/>
    <w:rsid w:val="002D788F"/>
    <w:rsid w:val="002E336D"/>
    <w:rsid w:val="002E338E"/>
    <w:rsid w:val="002E4C73"/>
    <w:rsid w:val="002F5F5F"/>
    <w:rsid w:val="003012C8"/>
    <w:rsid w:val="00302074"/>
    <w:rsid w:val="00310CDF"/>
    <w:rsid w:val="003138D7"/>
    <w:rsid w:val="00313ABC"/>
    <w:rsid w:val="00315DD7"/>
    <w:rsid w:val="00316EA1"/>
    <w:rsid w:val="003242E9"/>
    <w:rsid w:val="00327758"/>
    <w:rsid w:val="00330188"/>
    <w:rsid w:val="003335D4"/>
    <w:rsid w:val="00337868"/>
    <w:rsid w:val="00340FB2"/>
    <w:rsid w:val="003428A4"/>
    <w:rsid w:val="00343143"/>
    <w:rsid w:val="0035247F"/>
    <w:rsid w:val="00352C66"/>
    <w:rsid w:val="003544E4"/>
    <w:rsid w:val="00357412"/>
    <w:rsid w:val="00361EF9"/>
    <w:rsid w:val="00362A43"/>
    <w:rsid w:val="0036505F"/>
    <w:rsid w:val="003704F3"/>
    <w:rsid w:val="003720CD"/>
    <w:rsid w:val="00373BEA"/>
    <w:rsid w:val="00374177"/>
    <w:rsid w:val="00381FA0"/>
    <w:rsid w:val="003830AD"/>
    <w:rsid w:val="00386022"/>
    <w:rsid w:val="0039086C"/>
    <w:rsid w:val="00393BCC"/>
    <w:rsid w:val="003962B6"/>
    <w:rsid w:val="00396E03"/>
    <w:rsid w:val="00397FD8"/>
    <w:rsid w:val="003A302A"/>
    <w:rsid w:val="003A3A13"/>
    <w:rsid w:val="003A493B"/>
    <w:rsid w:val="003B0FE3"/>
    <w:rsid w:val="003C5F38"/>
    <w:rsid w:val="003C7EAD"/>
    <w:rsid w:val="003D0BB3"/>
    <w:rsid w:val="003E0463"/>
    <w:rsid w:val="003E3E9A"/>
    <w:rsid w:val="003E4792"/>
    <w:rsid w:val="003E5BD2"/>
    <w:rsid w:val="003F212A"/>
    <w:rsid w:val="004058F6"/>
    <w:rsid w:val="004072C1"/>
    <w:rsid w:val="00411196"/>
    <w:rsid w:val="004321CB"/>
    <w:rsid w:val="00446B84"/>
    <w:rsid w:val="00446CB4"/>
    <w:rsid w:val="004479A3"/>
    <w:rsid w:val="00447D89"/>
    <w:rsid w:val="0045029D"/>
    <w:rsid w:val="00450A10"/>
    <w:rsid w:val="00453BDE"/>
    <w:rsid w:val="00457790"/>
    <w:rsid w:val="00460799"/>
    <w:rsid w:val="00462550"/>
    <w:rsid w:val="00462B8B"/>
    <w:rsid w:val="0046543A"/>
    <w:rsid w:val="00466942"/>
    <w:rsid w:val="00472E59"/>
    <w:rsid w:val="00475A4B"/>
    <w:rsid w:val="004774DC"/>
    <w:rsid w:val="00480F98"/>
    <w:rsid w:val="00483663"/>
    <w:rsid w:val="0048710B"/>
    <w:rsid w:val="004A0144"/>
    <w:rsid w:val="004A7B18"/>
    <w:rsid w:val="004C4929"/>
    <w:rsid w:val="004D300A"/>
    <w:rsid w:val="004D76C1"/>
    <w:rsid w:val="004E3AE6"/>
    <w:rsid w:val="004F5D58"/>
    <w:rsid w:val="00504A57"/>
    <w:rsid w:val="00510A0C"/>
    <w:rsid w:val="005239F7"/>
    <w:rsid w:val="005311CC"/>
    <w:rsid w:val="00536A51"/>
    <w:rsid w:val="00543A59"/>
    <w:rsid w:val="00545BA4"/>
    <w:rsid w:val="00551F2A"/>
    <w:rsid w:val="00552D99"/>
    <w:rsid w:val="00556188"/>
    <w:rsid w:val="00557156"/>
    <w:rsid w:val="00562F18"/>
    <w:rsid w:val="00563BEE"/>
    <w:rsid w:val="00564BC5"/>
    <w:rsid w:val="00573F0B"/>
    <w:rsid w:val="00576996"/>
    <w:rsid w:val="00576E9C"/>
    <w:rsid w:val="005774CB"/>
    <w:rsid w:val="00577552"/>
    <w:rsid w:val="005850E4"/>
    <w:rsid w:val="0059028D"/>
    <w:rsid w:val="005A19BB"/>
    <w:rsid w:val="005A3861"/>
    <w:rsid w:val="005B50C9"/>
    <w:rsid w:val="005C1A32"/>
    <w:rsid w:val="005C3FC9"/>
    <w:rsid w:val="005C5BDC"/>
    <w:rsid w:val="005D2F07"/>
    <w:rsid w:val="005D44B2"/>
    <w:rsid w:val="005E2A04"/>
    <w:rsid w:val="005E360B"/>
    <w:rsid w:val="005F41A3"/>
    <w:rsid w:val="005F5376"/>
    <w:rsid w:val="0061191D"/>
    <w:rsid w:val="006128C4"/>
    <w:rsid w:val="00613440"/>
    <w:rsid w:val="00613C19"/>
    <w:rsid w:val="00616EAF"/>
    <w:rsid w:val="006221E2"/>
    <w:rsid w:val="00627F2F"/>
    <w:rsid w:val="00644ED1"/>
    <w:rsid w:val="0064552E"/>
    <w:rsid w:val="006642AF"/>
    <w:rsid w:val="00666482"/>
    <w:rsid w:val="00674302"/>
    <w:rsid w:val="0068608B"/>
    <w:rsid w:val="00687733"/>
    <w:rsid w:val="006A644D"/>
    <w:rsid w:val="006B078E"/>
    <w:rsid w:val="006B106E"/>
    <w:rsid w:val="006B24C4"/>
    <w:rsid w:val="006B6F15"/>
    <w:rsid w:val="006E2563"/>
    <w:rsid w:val="006F0145"/>
    <w:rsid w:val="006F02C1"/>
    <w:rsid w:val="006F6F99"/>
    <w:rsid w:val="006F7AC3"/>
    <w:rsid w:val="00700E7F"/>
    <w:rsid w:val="00712EC2"/>
    <w:rsid w:val="00714153"/>
    <w:rsid w:val="00714651"/>
    <w:rsid w:val="00716E7D"/>
    <w:rsid w:val="0072062E"/>
    <w:rsid w:val="00725FA2"/>
    <w:rsid w:val="00731DD8"/>
    <w:rsid w:val="0073487D"/>
    <w:rsid w:val="007422C2"/>
    <w:rsid w:val="00744E81"/>
    <w:rsid w:val="00745FA2"/>
    <w:rsid w:val="00747176"/>
    <w:rsid w:val="00757F4A"/>
    <w:rsid w:val="00765F5E"/>
    <w:rsid w:val="00772CDD"/>
    <w:rsid w:val="00776435"/>
    <w:rsid w:val="007A26AF"/>
    <w:rsid w:val="007A3818"/>
    <w:rsid w:val="007B00F7"/>
    <w:rsid w:val="007B5500"/>
    <w:rsid w:val="007C6887"/>
    <w:rsid w:val="007D1ABE"/>
    <w:rsid w:val="007D25D9"/>
    <w:rsid w:val="007E0B1E"/>
    <w:rsid w:val="007E10FE"/>
    <w:rsid w:val="007E30BD"/>
    <w:rsid w:val="007F77F3"/>
    <w:rsid w:val="007F7950"/>
    <w:rsid w:val="008012CF"/>
    <w:rsid w:val="00807C48"/>
    <w:rsid w:val="00814D5F"/>
    <w:rsid w:val="00821004"/>
    <w:rsid w:val="0082410E"/>
    <w:rsid w:val="00827986"/>
    <w:rsid w:val="00830DF8"/>
    <w:rsid w:val="00831326"/>
    <w:rsid w:val="00831979"/>
    <w:rsid w:val="00834CEE"/>
    <w:rsid w:val="00836EB9"/>
    <w:rsid w:val="00842688"/>
    <w:rsid w:val="008465EA"/>
    <w:rsid w:val="00850784"/>
    <w:rsid w:val="00861B05"/>
    <w:rsid w:val="00861DE8"/>
    <w:rsid w:val="00870FD2"/>
    <w:rsid w:val="008713E3"/>
    <w:rsid w:val="0088355A"/>
    <w:rsid w:val="0088765E"/>
    <w:rsid w:val="008A0E7D"/>
    <w:rsid w:val="008A3BC8"/>
    <w:rsid w:val="008B0957"/>
    <w:rsid w:val="008C587D"/>
    <w:rsid w:val="008C7D19"/>
    <w:rsid w:val="008D53A3"/>
    <w:rsid w:val="008E4607"/>
    <w:rsid w:val="008F0112"/>
    <w:rsid w:val="008F1630"/>
    <w:rsid w:val="008F698E"/>
    <w:rsid w:val="008F780A"/>
    <w:rsid w:val="009001C6"/>
    <w:rsid w:val="00903B62"/>
    <w:rsid w:val="00904D89"/>
    <w:rsid w:val="00906AD1"/>
    <w:rsid w:val="00910C8E"/>
    <w:rsid w:val="00912E3D"/>
    <w:rsid w:val="00921D19"/>
    <w:rsid w:val="00937D52"/>
    <w:rsid w:val="00967C24"/>
    <w:rsid w:val="00971E7A"/>
    <w:rsid w:val="00986F0B"/>
    <w:rsid w:val="00990953"/>
    <w:rsid w:val="00991472"/>
    <w:rsid w:val="009918B2"/>
    <w:rsid w:val="00992B12"/>
    <w:rsid w:val="009A3F79"/>
    <w:rsid w:val="009A4056"/>
    <w:rsid w:val="009A4A2D"/>
    <w:rsid w:val="009A504C"/>
    <w:rsid w:val="009A5A47"/>
    <w:rsid w:val="009A79C4"/>
    <w:rsid w:val="009C0AA5"/>
    <w:rsid w:val="009C3FB4"/>
    <w:rsid w:val="009D099E"/>
    <w:rsid w:val="009E1419"/>
    <w:rsid w:val="009E60CD"/>
    <w:rsid w:val="009E79EE"/>
    <w:rsid w:val="009F1560"/>
    <w:rsid w:val="009F4905"/>
    <w:rsid w:val="009F63DE"/>
    <w:rsid w:val="009F70B8"/>
    <w:rsid w:val="009F711E"/>
    <w:rsid w:val="00A07001"/>
    <w:rsid w:val="00A13111"/>
    <w:rsid w:val="00A1390B"/>
    <w:rsid w:val="00A2256A"/>
    <w:rsid w:val="00A22A81"/>
    <w:rsid w:val="00A24BA5"/>
    <w:rsid w:val="00A27CC7"/>
    <w:rsid w:val="00A31097"/>
    <w:rsid w:val="00A31567"/>
    <w:rsid w:val="00A36331"/>
    <w:rsid w:val="00A41B2E"/>
    <w:rsid w:val="00A4748B"/>
    <w:rsid w:val="00A47894"/>
    <w:rsid w:val="00A57973"/>
    <w:rsid w:val="00A6039A"/>
    <w:rsid w:val="00A84341"/>
    <w:rsid w:val="00A85152"/>
    <w:rsid w:val="00A87A32"/>
    <w:rsid w:val="00A9123B"/>
    <w:rsid w:val="00A91F90"/>
    <w:rsid w:val="00A92842"/>
    <w:rsid w:val="00A97E0C"/>
    <w:rsid w:val="00AB2682"/>
    <w:rsid w:val="00AC0630"/>
    <w:rsid w:val="00AC7D31"/>
    <w:rsid w:val="00AD24AC"/>
    <w:rsid w:val="00AE3EC3"/>
    <w:rsid w:val="00AE7378"/>
    <w:rsid w:val="00AF1D6F"/>
    <w:rsid w:val="00AF22B1"/>
    <w:rsid w:val="00B010FB"/>
    <w:rsid w:val="00B01CC4"/>
    <w:rsid w:val="00B07BCA"/>
    <w:rsid w:val="00B1517D"/>
    <w:rsid w:val="00B32D44"/>
    <w:rsid w:val="00B35556"/>
    <w:rsid w:val="00B40DE7"/>
    <w:rsid w:val="00B54818"/>
    <w:rsid w:val="00B54CA0"/>
    <w:rsid w:val="00B65965"/>
    <w:rsid w:val="00B70F48"/>
    <w:rsid w:val="00B75B3A"/>
    <w:rsid w:val="00B7620C"/>
    <w:rsid w:val="00B816A5"/>
    <w:rsid w:val="00B84568"/>
    <w:rsid w:val="00B872F8"/>
    <w:rsid w:val="00B90872"/>
    <w:rsid w:val="00B90E2C"/>
    <w:rsid w:val="00BA58B5"/>
    <w:rsid w:val="00BA6D7C"/>
    <w:rsid w:val="00BB03F0"/>
    <w:rsid w:val="00BB4805"/>
    <w:rsid w:val="00BB4AC3"/>
    <w:rsid w:val="00BD1139"/>
    <w:rsid w:val="00BD1DF2"/>
    <w:rsid w:val="00BD34BF"/>
    <w:rsid w:val="00BD70E3"/>
    <w:rsid w:val="00BE4B6A"/>
    <w:rsid w:val="00BF0391"/>
    <w:rsid w:val="00BF299E"/>
    <w:rsid w:val="00C117BE"/>
    <w:rsid w:val="00C1406D"/>
    <w:rsid w:val="00C140C0"/>
    <w:rsid w:val="00C15D02"/>
    <w:rsid w:val="00C15E64"/>
    <w:rsid w:val="00C21411"/>
    <w:rsid w:val="00C27C61"/>
    <w:rsid w:val="00C3171B"/>
    <w:rsid w:val="00C32315"/>
    <w:rsid w:val="00C4183F"/>
    <w:rsid w:val="00C5271F"/>
    <w:rsid w:val="00C53221"/>
    <w:rsid w:val="00C532F1"/>
    <w:rsid w:val="00C5371B"/>
    <w:rsid w:val="00C551D6"/>
    <w:rsid w:val="00C62B0E"/>
    <w:rsid w:val="00C62EA0"/>
    <w:rsid w:val="00C63D02"/>
    <w:rsid w:val="00C8695C"/>
    <w:rsid w:val="00C878C4"/>
    <w:rsid w:val="00C87DFE"/>
    <w:rsid w:val="00C90A60"/>
    <w:rsid w:val="00C979A2"/>
    <w:rsid w:val="00CA1C75"/>
    <w:rsid w:val="00CA40A8"/>
    <w:rsid w:val="00CB00F7"/>
    <w:rsid w:val="00CB41CF"/>
    <w:rsid w:val="00CB5299"/>
    <w:rsid w:val="00CB7F62"/>
    <w:rsid w:val="00CC06CD"/>
    <w:rsid w:val="00CC6971"/>
    <w:rsid w:val="00CC7935"/>
    <w:rsid w:val="00CD4EF3"/>
    <w:rsid w:val="00CE360C"/>
    <w:rsid w:val="00CE4FB3"/>
    <w:rsid w:val="00CE5CB5"/>
    <w:rsid w:val="00CE6AF6"/>
    <w:rsid w:val="00CF0D66"/>
    <w:rsid w:val="00CF0F11"/>
    <w:rsid w:val="00CF3B4E"/>
    <w:rsid w:val="00CF77CB"/>
    <w:rsid w:val="00CF7DDF"/>
    <w:rsid w:val="00D0294B"/>
    <w:rsid w:val="00D0370A"/>
    <w:rsid w:val="00D13594"/>
    <w:rsid w:val="00D31856"/>
    <w:rsid w:val="00D326D9"/>
    <w:rsid w:val="00D35939"/>
    <w:rsid w:val="00D42FA6"/>
    <w:rsid w:val="00D459D1"/>
    <w:rsid w:val="00D45C68"/>
    <w:rsid w:val="00D523D4"/>
    <w:rsid w:val="00D54001"/>
    <w:rsid w:val="00D612AB"/>
    <w:rsid w:val="00D614C0"/>
    <w:rsid w:val="00D6203B"/>
    <w:rsid w:val="00D63AB3"/>
    <w:rsid w:val="00D63B4A"/>
    <w:rsid w:val="00D64C8B"/>
    <w:rsid w:val="00D6696C"/>
    <w:rsid w:val="00D70001"/>
    <w:rsid w:val="00D74727"/>
    <w:rsid w:val="00D9605B"/>
    <w:rsid w:val="00DA4570"/>
    <w:rsid w:val="00DA549F"/>
    <w:rsid w:val="00DB1196"/>
    <w:rsid w:val="00DD29C3"/>
    <w:rsid w:val="00DD4B40"/>
    <w:rsid w:val="00DE2A33"/>
    <w:rsid w:val="00DE4CD1"/>
    <w:rsid w:val="00DE69E0"/>
    <w:rsid w:val="00DF10ED"/>
    <w:rsid w:val="00DF3AE9"/>
    <w:rsid w:val="00DF4BAB"/>
    <w:rsid w:val="00E07100"/>
    <w:rsid w:val="00E120D8"/>
    <w:rsid w:val="00E1229C"/>
    <w:rsid w:val="00E15154"/>
    <w:rsid w:val="00E16AD9"/>
    <w:rsid w:val="00E221A2"/>
    <w:rsid w:val="00E31882"/>
    <w:rsid w:val="00E32F56"/>
    <w:rsid w:val="00E37845"/>
    <w:rsid w:val="00E4496D"/>
    <w:rsid w:val="00E4759E"/>
    <w:rsid w:val="00E507BE"/>
    <w:rsid w:val="00E56D71"/>
    <w:rsid w:val="00E57C23"/>
    <w:rsid w:val="00E6193B"/>
    <w:rsid w:val="00E67946"/>
    <w:rsid w:val="00E70480"/>
    <w:rsid w:val="00E81FF1"/>
    <w:rsid w:val="00E8380C"/>
    <w:rsid w:val="00E846AB"/>
    <w:rsid w:val="00E848EB"/>
    <w:rsid w:val="00E86C32"/>
    <w:rsid w:val="00E8745A"/>
    <w:rsid w:val="00E905DA"/>
    <w:rsid w:val="00E928D0"/>
    <w:rsid w:val="00E95FE5"/>
    <w:rsid w:val="00E96CC7"/>
    <w:rsid w:val="00EA2941"/>
    <w:rsid w:val="00EB0D90"/>
    <w:rsid w:val="00EB3461"/>
    <w:rsid w:val="00EB5115"/>
    <w:rsid w:val="00EB58C2"/>
    <w:rsid w:val="00EB740A"/>
    <w:rsid w:val="00EB7CE3"/>
    <w:rsid w:val="00EC17BB"/>
    <w:rsid w:val="00ED6EDD"/>
    <w:rsid w:val="00EE0C70"/>
    <w:rsid w:val="00EE1293"/>
    <w:rsid w:val="00EE3894"/>
    <w:rsid w:val="00EE6179"/>
    <w:rsid w:val="00EF742E"/>
    <w:rsid w:val="00F06092"/>
    <w:rsid w:val="00F16E79"/>
    <w:rsid w:val="00F174D7"/>
    <w:rsid w:val="00F25CB8"/>
    <w:rsid w:val="00F32A23"/>
    <w:rsid w:val="00F36A30"/>
    <w:rsid w:val="00F417E3"/>
    <w:rsid w:val="00F52563"/>
    <w:rsid w:val="00F5334F"/>
    <w:rsid w:val="00F55A72"/>
    <w:rsid w:val="00F56638"/>
    <w:rsid w:val="00F56AB3"/>
    <w:rsid w:val="00F61E75"/>
    <w:rsid w:val="00F665F4"/>
    <w:rsid w:val="00F6679B"/>
    <w:rsid w:val="00F716A3"/>
    <w:rsid w:val="00F81392"/>
    <w:rsid w:val="00F915F4"/>
    <w:rsid w:val="00F94B05"/>
    <w:rsid w:val="00F94B06"/>
    <w:rsid w:val="00FA4AA0"/>
    <w:rsid w:val="00FB641B"/>
    <w:rsid w:val="00FC2CA4"/>
    <w:rsid w:val="00FC715C"/>
    <w:rsid w:val="00FC7F7F"/>
    <w:rsid w:val="00FD3E7D"/>
    <w:rsid w:val="00FE7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2826"/>
  <w15:chartTrackingRefBased/>
  <w15:docId w15:val="{BCC31C58-238F-4554-B121-7EC61D95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pPr>
      <w:keepNext/>
      <w:jc w:val="center"/>
      <w:outlineLvl w:val="0"/>
    </w:pPr>
    <w:rPr>
      <w:b/>
      <w:lang w:val="x-none" w:eastAsia="x-none"/>
    </w:rPr>
  </w:style>
  <w:style w:type="paragraph" w:styleId="Nagwek2">
    <w:name w:val="heading 2"/>
    <w:basedOn w:val="Normalny"/>
    <w:next w:val="Normalny"/>
    <w:qFormat/>
    <w:pPr>
      <w:keepNext/>
      <w:numPr>
        <w:numId w:val="1"/>
      </w:numPr>
      <w:jc w:val="center"/>
      <w:outlineLvl w:val="1"/>
    </w:pPr>
    <w:rPr>
      <w:b/>
    </w:rPr>
  </w:style>
  <w:style w:type="paragraph" w:styleId="Nagwek3">
    <w:name w:val="heading 3"/>
    <w:basedOn w:val="Normalny"/>
    <w:next w:val="Normalny"/>
    <w:qFormat/>
    <w:pPr>
      <w:keepNext/>
      <w:spacing w:line="360" w:lineRule="auto"/>
      <w:jc w:val="center"/>
      <w:outlineLvl w:val="2"/>
    </w:pPr>
    <w:rPr>
      <w:rFonts w:ascii="Arial" w:hAnsi="Arial"/>
      <w:b/>
    </w:rPr>
  </w:style>
  <w:style w:type="paragraph" w:styleId="Nagwek4">
    <w:name w:val="heading 4"/>
    <w:basedOn w:val="Normalny"/>
    <w:next w:val="Normalny"/>
    <w:qFormat/>
    <w:pPr>
      <w:keepNext/>
      <w:jc w:val="both"/>
      <w:outlineLvl w:val="3"/>
    </w:pPr>
    <w:rPr>
      <w:rFonts w:ascii="Arial" w:hAnsi="Arial"/>
      <w:sz w:val="24"/>
    </w:rPr>
  </w:style>
  <w:style w:type="paragraph" w:styleId="Nagwek5">
    <w:name w:val="heading 5"/>
    <w:basedOn w:val="Normalny"/>
    <w:next w:val="Normalny"/>
    <w:qFormat/>
    <w:pPr>
      <w:keepNext/>
      <w:spacing w:line="360" w:lineRule="auto"/>
      <w:jc w:val="center"/>
      <w:outlineLvl w:val="4"/>
    </w:pPr>
    <w:rPr>
      <w:b/>
      <w:sz w:val="24"/>
    </w:rPr>
  </w:style>
  <w:style w:type="paragraph" w:styleId="Nagwek6">
    <w:name w:val="heading 6"/>
    <w:basedOn w:val="Normalny"/>
    <w:next w:val="Normalny"/>
    <w:qFormat/>
    <w:pPr>
      <w:keepNext/>
      <w:jc w:val="right"/>
      <w:outlineLvl w:val="5"/>
    </w:pPr>
    <w:rPr>
      <w:b/>
      <w:sz w:val="22"/>
    </w:rPr>
  </w:style>
  <w:style w:type="paragraph" w:styleId="Nagwek7">
    <w:name w:val="heading 7"/>
    <w:basedOn w:val="Normalny"/>
    <w:next w:val="Normalny"/>
    <w:qFormat/>
    <w:pPr>
      <w:keepNext/>
      <w:tabs>
        <w:tab w:val="left" w:pos="3119"/>
        <w:tab w:val="left" w:pos="4253"/>
        <w:tab w:val="left" w:pos="4678"/>
      </w:tabs>
      <w:spacing w:before="120" w:line="360" w:lineRule="auto"/>
      <w:ind w:hanging="595"/>
      <w:outlineLvl w:val="6"/>
    </w:pPr>
    <w:rPr>
      <w:b/>
      <w:smallCaps/>
      <w:u w:val="single"/>
    </w:rPr>
  </w:style>
  <w:style w:type="paragraph" w:styleId="Nagwek8">
    <w:name w:val="heading 8"/>
    <w:basedOn w:val="Normalny"/>
    <w:next w:val="Normalny"/>
    <w:qFormat/>
    <w:pPr>
      <w:keepNext/>
      <w:outlineLvl w:val="7"/>
    </w:pPr>
    <w:rPr>
      <w:b/>
    </w:rPr>
  </w:style>
  <w:style w:type="paragraph" w:styleId="Nagwek9">
    <w:name w:val="heading 9"/>
    <w:basedOn w:val="Normalny"/>
    <w:next w:val="Normalny"/>
    <w:qFormat/>
    <w:pPr>
      <w:keepNext/>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bertwyliczanie">
    <w:name w:val="Robert wyliczanie"/>
    <w:basedOn w:val="Normalny"/>
    <w:pPr>
      <w:widowControl w:val="0"/>
      <w:numPr>
        <w:numId w:val="2"/>
      </w:numPr>
    </w:pPr>
    <w:rPr>
      <w:snapToGrid w:val="0"/>
    </w:rPr>
  </w:style>
  <w:style w:type="paragraph" w:customStyle="1" w:styleId="Stopka1">
    <w:name w:val="Stopka1"/>
    <w:basedOn w:val="Normalny"/>
    <w:pPr>
      <w:widowControl w:val="0"/>
    </w:pPr>
    <w:rPr>
      <w:sz w:val="24"/>
    </w:rPr>
  </w:style>
  <w:style w:type="paragraph" w:styleId="Tekstpodstawowy">
    <w:name w:val="Body Text"/>
    <w:basedOn w:val="Normalny"/>
    <w:link w:val="TekstpodstawowyZnak"/>
    <w:pPr>
      <w:widowControl w:val="0"/>
    </w:pPr>
    <w:rPr>
      <w:rFonts w:ascii="TimesEE" w:hAnsi="TimesEE"/>
      <w:color w:val="000000"/>
      <w:sz w:val="24"/>
    </w:rPr>
  </w:style>
  <w:style w:type="paragraph" w:styleId="Tekstpodstawowy2">
    <w:name w:val="Body Text 2"/>
    <w:basedOn w:val="Normalny"/>
    <w:pPr>
      <w:spacing w:line="360" w:lineRule="auto"/>
      <w:jc w:val="both"/>
    </w:pPr>
    <w:rPr>
      <w:sz w:val="24"/>
    </w:rPr>
  </w:style>
  <w:style w:type="paragraph" w:styleId="Tekstpodstawowy3">
    <w:name w:val="Body Text 3"/>
    <w:basedOn w:val="Normalny"/>
    <w:pPr>
      <w:spacing w:line="360" w:lineRule="auto"/>
      <w:jc w:val="both"/>
    </w:pPr>
    <w:rPr>
      <w:rFonts w:ascii="Arial" w:hAnsi="Arial"/>
      <w:color w:val="FF00FF"/>
      <w:sz w:val="24"/>
    </w:rPr>
  </w:style>
  <w:style w:type="paragraph" w:styleId="Tekstpodstawowywcity">
    <w:name w:val="Body Text Indent"/>
    <w:basedOn w:val="Normalny"/>
    <w:pPr>
      <w:spacing w:line="360" w:lineRule="auto"/>
      <w:ind w:left="284" w:hanging="284"/>
      <w:jc w:val="both"/>
    </w:pPr>
    <w:rPr>
      <w:sz w:val="24"/>
    </w:rPr>
  </w:style>
  <w:style w:type="paragraph" w:styleId="Tekstpodstawowywcity2">
    <w:name w:val="Body Text Indent 2"/>
    <w:basedOn w:val="Normalny"/>
    <w:pPr>
      <w:ind w:left="284" w:hanging="284"/>
      <w:jc w:val="both"/>
    </w:pPr>
  </w:style>
  <w:style w:type="paragraph" w:styleId="Tekstpodstawowywcity3">
    <w:name w:val="Body Text Indent 3"/>
    <w:basedOn w:val="Normalny"/>
    <w:pPr>
      <w:spacing w:line="360" w:lineRule="auto"/>
      <w:ind w:left="851" w:hanging="284"/>
      <w:jc w:val="both"/>
    </w:pPr>
    <w:rPr>
      <w:sz w:val="24"/>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link w:val="TekstkomentarzaZnak"/>
    <w:semiHidden/>
  </w:style>
  <w:style w:type="character" w:styleId="Odwoanieprzypisudolnego">
    <w:name w:val="footnote reference"/>
    <w:semiHidden/>
    <w:rPr>
      <w:vertAlign w:val="superscript"/>
    </w:rPr>
  </w:style>
  <w:style w:type="paragraph" w:styleId="Tekstprzypisudolnego">
    <w:name w:val="footnote text"/>
    <w:basedOn w:val="Normalny"/>
    <w:semiHidden/>
  </w:style>
  <w:style w:type="paragraph" w:customStyle="1" w:styleId="Domylnytekst">
    <w:name w:val="Domyślny tekst"/>
    <w:basedOn w:val="Normalny"/>
    <w:rPr>
      <w:sz w:val="24"/>
    </w:rPr>
  </w:style>
  <w:style w:type="paragraph" w:customStyle="1" w:styleId="Footnote">
    <w:name w:val="Footnote"/>
    <w:pPr>
      <w:widowControl w:val="0"/>
    </w:pPr>
    <w:rPr>
      <w:color w:val="000000"/>
      <w:sz w:val="24"/>
      <w:lang w:val="en-US"/>
    </w:rPr>
  </w:style>
  <w:style w:type="paragraph" w:customStyle="1" w:styleId="Domyolnytekst">
    <w:name w:val="Domyolny tekst"/>
    <w:basedOn w:val="Normalny"/>
    <w:pPr>
      <w:widowControl w:val="0"/>
    </w:pPr>
    <w:rPr>
      <w:snapToGrid w:val="0"/>
      <w:sz w:val="24"/>
    </w:rPr>
  </w:style>
  <w:style w:type="paragraph" w:styleId="Tekstblokowy">
    <w:name w:val="Block Text"/>
    <w:basedOn w:val="Normalny"/>
    <w:pPr>
      <w:tabs>
        <w:tab w:val="left" w:pos="567"/>
      </w:tabs>
      <w:ind w:left="426" w:right="-428"/>
      <w:jc w:val="both"/>
    </w:pPr>
    <w:rPr>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character" w:styleId="Hipercze">
    <w:name w:val="Hyperlink"/>
    <w:rPr>
      <w:color w:val="0000FF"/>
      <w:u w:val="single"/>
    </w:rPr>
  </w:style>
  <w:style w:type="paragraph" w:styleId="Tytu">
    <w:name w:val="Title"/>
    <w:basedOn w:val="Normalny"/>
    <w:qFormat/>
    <w:pPr>
      <w:jc w:val="center"/>
    </w:pPr>
    <w:rPr>
      <w:b/>
      <w:sz w:val="28"/>
    </w:rPr>
  </w:style>
  <w:style w:type="paragraph" w:styleId="Podtytu">
    <w:name w:val="Subtitle"/>
    <w:basedOn w:val="Normalny"/>
    <w:qFormat/>
    <w:rPr>
      <w:rFonts w:ascii="Arial" w:hAnsi="Arial"/>
      <w:b/>
      <w:sz w:val="24"/>
      <w:u w:val="single"/>
    </w:rPr>
  </w:style>
  <w:style w:type="paragraph" w:styleId="Tekstdymka">
    <w:name w:val="Balloon Text"/>
    <w:basedOn w:val="Normalny"/>
    <w:semiHidden/>
    <w:rsid w:val="00C62EA0"/>
    <w:rPr>
      <w:rFonts w:ascii="Tahoma" w:hAnsi="Tahoma" w:cs="Tahoma"/>
      <w:sz w:val="16"/>
      <w:szCs w:val="16"/>
    </w:rPr>
  </w:style>
  <w:style w:type="paragraph" w:customStyle="1" w:styleId="ZnakZnak1ZnakZnakZnakZnak">
    <w:name w:val="Znak Znak1 Znak Znak Znak Znak"/>
    <w:basedOn w:val="Normalny"/>
    <w:rsid w:val="00BF0391"/>
    <w:rPr>
      <w:sz w:val="24"/>
      <w:szCs w:val="24"/>
    </w:rPr>
  </w:style>
  <w:style w:type="table" w:styleId="Tabela-Siatka">
    <w:name w:val="Table Grid"/>
    <w:basedOn w:val="Standardowy"/>
    <w:rsid w:val="008C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link w:val="Tekstpodstawowy"/>
    <w:rsid w:val="008C587D"/>
    <w:rPr>
      <w:rFonts w:ascii="TimesEE" w:hAnsi="TimesEE"/>
      <w:color w:val="000000"/>
      <w:sz w:val="24"/>
      <w:lang w:val="pl-PL" w:eastAsia="pl-PL" w:bidi="ar-SA"/>
    </w:rPr>
  </w:style>
  <w:style w:type="character" w:customStyle="1" w:styleId="Nagwek1Znak">
    <w:name w:val="Nagłówek 1 Znak"/>
    <w:link w:val="Nagwek1"/>
    <w:rsid w:val="00B65965"/>
    <w:rPr>
      <w:b/>
    </w:rPr>
  </w:style>
  <w:style w:type="character" w:customStyle="1" w:styleId="TekstkomentarzaZnak">
    <w:name w:val="Tekst komentarza Znak"/>
    <w:link w:val="Tekstkomentarza"/>
    <w:semiHidden/>
    <w:rsid w:val="00EA2941"/>
  </w:style>
  <w:style w:type="character" w:styleId="Odwoaniedokomentarza">
    <w:name w:val="annotation reference"/>
    <w:rsid w:val="00EA2941"/>
    <w:rPr>
      <w:sz w:val="16"/>
      <w:szCs w:val="16"/>
    </w:rPr>
  </w:style>
  <w:style w:type="character" w:customStyle="1" w:styleId="StopkaZnak">
    <w:name w:val="Stopka Znak"/>
    <w:link w:val="Stopka"/>
    <w:uiPriority w:val="99"/>
    <w:rsid w:val="00397FD8"/>
  </w:style>
  <w:style w:type="paragraph" w:styleId="Tematkomentarza">
    <w:name w:val="annotation subject"/>
    <w:basedOn w:val="Tekstkomentarza"/>
    <w:next w:val="Tekstkomentarza"/>
    <w:link w:val="TematkomentarzaZnak"/>
    <w:rsid w:val="00613C19"/>
    <w:rPr>
      <w:b/>
      <w:bCs/>
    </w:rPr>
  </w:style>
  <w:style w:type="character" w:customStyle="1" w:styleId="TematkomentarzaZnak">
    <w:name w:val="Temat komentarza Znak"/>
    <w:link w:val="Tematkomentarza"/>
    <w:rsid w:val="00613C19"/>
    <w:rPr>
      <w:b/>
      <w:bCs/>
    </w:rPr>
  </w:style>
  <w:style w:type="paragraph" w:customStyle="1" w:styleId="Default">
    <w:name w:val="Default"/>
    <w:rsid w:val="00C140C0"/>
    <w:pPr>
      <w:autoSpaceDE w:val="0"/>
      <w:autoSpaceDN w:val="0"/>
      <w:adjustRightInd w:val="0"/>
    </w:pPr>
    <w:rPr>
      <w:color w:val="000000"/>
      <w:sz w:val="24"/>
      <w:szCs w:val="24"/>
    </w:rPr>
  </w:style>
  <w:style w:type="paragraph" w:styleId="Akapitzlist">
    <w:name w:val="List Paragraph"/>
    <w:basedOn w:val="Normalny"/>
    <w:uiPriority w:val="99"/>
    <w:qFormat/>
    <w:rsid w:val="00C63D02"/>
    <w:pPr>
      <w:ind w:left="720"/>
      <w:contextualSpacing/>
    </w:pPr>
    <w:rPr>
      <w:rFonts w:ascii="Arial" w:hAnsi="Arial" w:cs="Arial"/>
      <w:sz w:val="22"/>
      <w:szCs w:val="22"/>
    </w:rPr>
  </w:style>
  <w:style w:type="paragraph" w:styleId="Poprawka">
    <w:name w:val="Revision"/>
    <w:hidden/>
    <w:uiPriority w:val="99"/>
    <w:semiHidden/>
    <w:rsid w:val="000C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1850">
      <w:bodyDiv w:val="1"/>
      <w:marLeft w:val="0"/>
      <w:marRight w:val="0"/>
      <w:marTop w:val="0"/>
      <w:marBottom w:val="0"/>
      <w:divBdr>
        <w:top w:val="none" w:sz="0" w:space="0" w:color="auto"/>
        <w:left w:val="none" w:sz="0" w:space="0" w:color="auto"/>
        <w:bottom w:val="none" w:sz="0" w:space="0" w:color="auto"/>
        <w:right w:val="none" w:sz="0" w:space="0" w:color="auto"/>
      </w:divBdr>
      <w:divsChild>
        <w:div w:id="31197149">
          <w:marLeft w:val="0"/>
          <w:marRight w:val="0"/>
          <w:marTop w:val="0"/>
          <w:marBottom w:val="0"/>
          <w:divBdr>
            <w:top w:val="none" w:sz="0" w:space="0" w:color="auto"/>
            <w:left w:val="none" w:sz="0" w:space="0" w:color="auto"/>
            <w:bottom w:val="none" w:sz="0" w:space="0" w:color="auto"/>
            <w:right w:val="none" w:sz="0" w:space="0" w:color="auto"/>
          </w:divBdr>
        </w:div>
        <w:div w:id="39550100">
          <w:marLeft w:val="0"/>
          <w:marRight w:val="0"/>
          <w:marTop w:val="0"/>
          <w:marBottom w:val="0"/>
          <w:divBdr>
            <w:top w:val="none" w:sz="0" w:space="0" w:color="auto"/>
            <w:left w:val="none" w:sz="0" w:space="0" w:color="auto"/>
            <w:bottom w:val="none" w:sz="0" w:space="0" w:color="auto"/>
            <w:right w:val="none" w:sz="0" w:space="0" w:color="auto"/>
          </w:divBdr>
        </w:div>
        <w:div w:id="202908008">
          <w:marLeft w:val="0"/>
          <w:marRight w:val="0"/>
          <w:marTop w:val="0"/>
          <w:marBottom w:val="0"/>
          <w:divBdr>
            <w:top w:val="none" w:sz="0" w:space="0" w:color="auto"/>
            <w:left w:val="none" w:sz="0" w:space="0" w:color="auto"/>
            <w:bottom w:val="none" w:sz="0" w:space="0" w:color="auto"/>
            <w:right w:val="none" w:sz="0" w:space="0" w:color="auto"/>
          </w:divBdr>
        </w:div>
        <w:div w:id="204678414">
          <w:marLeft w:val="0"/>
          <w:marRight w:val="0"/>
          <w:marTop w:val="0"/>
          <w:marBottom w:val="0"/>
          <w:divBdr>
            <w:top w:val="none" w:sz="0" w:space="0" w:color="auto"/>
            <w:left w:val="none" w:sz="0" w:space="0" w:color="auto"/>
            <w:bottom w:val="none" w:sz="0" w:space="0" w:color="auto"/>
            <w:right w:val="none" w:sz="0" w:space="0" w:color="auto"/>
          </w:divBdr>
        </w:div>
        <w:div w:id="234048119">
          <w:marLeft w:val="0"/>
          <w:marRight w:val="0"/>
          <w:marTop w:val="0"/>
          <w:marBottom w:val="0"/>
          <w:divBdr>
            <w:top w:val="none" w:sz="0" w:space="0" w:color="auto"/>
            <w:left w:val="none" w:sz="0" w:space="0" w:color="auto"/>
            <w:bottom w:val="none" w:sz="0" w:space="0" w:color="auto"/>
            <w:right w:val="none" w:sz="0" w:space="0" w:color="auto"/>
          </w:divBdr>
        </w:div>
        <w:div w:id="270742077">
          <w:marLeft w:val="0"/>
          <w:marRight w:val="0"/>
          <w:marTop w:val="0"/>
          <w:marBottom w:val="0"/>
          <w:divBdr>
            <w:top w:val="none" w:sz="0" w:space="0" w:color="auto"/>
            <w:left w:val="none" w:sz="0" w:space="0" w:color="auto"/>
            <w:bottom w:val="none" w:sz="0" w:space="0" w:color="auto"/>
            <w:right w:val="none" w:sz="0" w:space="0" w:color="auto"/>
          </w:divBdr>
        </w:div>
        <w:div w:id="304239827">
          <w:marLeft w:val="0"/>
          <w:marRight w:val="0"/>
          <w:marTop w:val="0"/>
          <w:marBottom w:val="0"/>
          <w:divBdr>
            <w:top w:val="none" w:sz="0" w:space="0" w:color="auto"/>
            <w:left w:val="none" w:sz="0" w:space="0" w:color="auto"/>
            <w:bottom w:val="none" w:sz="0" w:space="0" w:color="auto"/>
            <w:right w:val="none" w:sz="0" w:space="0" w:color="auto"/>
          </w:divBdr>
        </w:div>
        <w:div w:id="359354531">
          <w:marLeft w:val="0"/>
          <w:marRight w:val="0"/>
          <w:marTop w:val="0"/>
          <w:marBottom w:val="0"/>
          <w:divBdr>
            <w:top w:val="none" w:sz="0" w:space="0" w:color="auto"/>
            <w:left w:val="none" w:sz="0" w:space="0" w:color="auto"/>
            <w:bottom w:val="none" w:sz="0" w:space="0" w:color="auto"/>
            <w:right w:val="none" w:sz="0" w:space="0" w:color="auto"/>
          </w:divBdr>
        </w:div>
        <w:div w:id="427241561">
          <w:marLeft w:val="0"/>
          <w:marRight w:val="0"/>
          <w:marTop w:val="0"/>
          <w:marBottom w:val="0"/>
          <w:divBdr>
            <w:top w:val="none" w:sz="0" w:space="0" w:color="auto"/>
            <w:left w:val="none" w:sz="0" w:space="0" w:color="auto"/>
            <w:bottom w:val="none" w:sz="0" w:space="0" w:color="auto"/>
            <w:right w:val="none" w:sz="0" w:space="0" w:color="auto"/>
          </w:divBdr>
        </w:div>
        <w:div w:id="521237784">
          <w:marLeft w:val="0"/>
          <w:marRight w:val="0"/>
          <w:marTop w:val="0"/>
          <w:marBottom w:val="0"/>
          <w:divBdr>
            <w:top w:val="none" w:sz="0" w:space="0" w:color="auto"/>
            <w:left w:val="none" w:sz="0" w:space="0" w:color="auto"/>
            <w:bottom w:val="none" w:sz="0" w:space="0" w:color="auto"/>
            <w:right w:val="none" w:sz="0" w:space="0" w:color="auto"/>
          </w:divBdr>
        </w:div>
        <w:div w:id="631256503">
          <w:marLeft w:val="0"/>
          <w:marRight w:val="0"/>
          <w:marTop w:val="0"/>
          <w:marBottom w:val="0"/>
          <w:divBdr>
            <w:top w:val="none" w:sz="0" w:space="0" w:color="auto"/>
            <w:left w:val="none" w:sz="0" w:space="0" w:color="auto"/>
            <w:bottom w:val="none" w:sz="0" w:space="0" w:color="auto"/>
            <w:right w:val="none" w:sz="0" w:space="0" w:color="auto"/>
          </w:divBdr>
        </w:div>
        <w:div w:id="642584243">
          <w:marLeft w:val="0"/>
          <w:marRight w:val="0"/>
          <w:marTop w:val="0"/>
          <w:marBottom w:val="0"/>
          <w:divBdr>
            <w:top w:val="none" w:sz="0" w:space="0" w:color="auto"/>
            <w:left w:val="none" w:sz="0" w:space="0" w:color="auto"/>
            <w:bottom w:val="none" w:sz="0" w:space="0" w:color="auto"/>
            <w:right w:val="none" w:sz="0" w:space="0" w:color="auto"/>
          </w:divBdr>
        </w:div>
        <w:div w:id="785389190">
          <w:marLeft w:val="0"/>
          <w:marRight w:val="0"/>
          <w:marTop w:val="0"/>
          <w:marBottom w:val="0"/>
          <w:divBdr>
            <w:top w:val="none" w:sz="0" w:space="0" w:color="auto"/>
            <w:left w:val="none" w:sz="0" w:space="0" w:color="auto"/>
            <w:bottom w:val="none" w:sz="0" w:space="0" w:color="auto"/>
            <w:right w:val="none" w:sz="0" w:space="0" w:color="auto"/>
          </w:divBdr>
        </w:div>
        <w:div w:id="981422514">
          <w:marLeft w:val="0"/>
          <w:marRight w:val="0"/>
          <w:marTop w:val="0"/>
          <w:marBottom w:val="0"/>
          <w:divBdr>
            <w:top w:val="none" w:sz="0" w:space="0" w:color="auto"/>
            <w:left w:val="none" w:sz="0" w:space="0" w:color="auto"/>
            <w:bottom w:val="none" w:sz="0" w:space="0" w:color="auto"/>
            <w:right w:val="none" w:sz="0" w:space="0" w:color="auto"/>
          </w:divBdr>
        </w:div>
        <w:div w:id="988827340">
          <w:marLeft w:val="0"/>
          <w:marRight w:val="0"/>
          <w:marTop w:val="0"/>
          <w:marBottom w:val="0"/>
          <w:divBdr>
            <w:top w:val="none" w:sz="0" w:space="0" w:color="auto"/>
            <w:left w:val="none" w:sz="0" w:space="0" w:color="auto"/>
            <w:bottom w:val="none" w:sz="0" w:space="0" w:color="auto"/>
            <w:right w:val="none" w:sz="0" w:space="0" w:color="auto"/>
          </w:divBdr>
        </w:div>
        <w:div w:id="1014573376">
          <w:marLeft w:val="0"/>
          <w:marRight w:val="0"/>
          <w:marTop w:val="0"/>
          <w:marBottom w:val="0"/>
          <w:divBdr>
            <w:top w:val="none" w:sz="0" w:space="0" w:color="auto"/>
            <w:left w:val="none" w:sz="0" w:space="0" w:color="auto"/>
            <w:bottom w:val="none" w:sz="0" w:space="0" w:color="auto"/>
            <w:right w:val="none" w:sz="0" w:space="0" w:color="auto"/>
          </w:divBdr>
        </w:div>
        <w:div w:id="1076976495">
          <w:marLeft w:val="0"/>
          <w:marRight w:val="0"/>
          <w:marTop w:val="0"/>
          <w:marBottom w:val="0"/>
          <w:divBdr>
            <w:top w:val="none" w:sz="0" w:space="0" w:color="auto"/>
            <w:left w:val="none" w:sz="0" w:space="0" w:color="auto"/>
            <w:bottom w:val="none" w:sz="0" w:space="0" w:color="auto"/>
            <w:right w:val="none" w:sz="0" w:space="0" w:color="auto"/>
          </w:divBdr>
        </w:div>
        <w:div w:id="1123813510">
          <w:marLeft w:val="0"/>
          <w:marRight w:val="0"/>
          <w:marTop w:val="0"/>
          <w:marBottom w:val="0"/>
          <w:divBdr>
            <w:top w:val="none" w:sz="0" w:space="0" w:color="auto"/>
            <w:left w:val="none" w:sz="0" w:space="0" w:color="auto"/>
            <w:bottom w:val="none" w:sz="0" w:space="0" w:color="auto"/>
            <w:right w:val="none" w:sz="0" w:space="0" w:color="auto"/>
          </w:divBdr>
        </w:div>
        <w:div w:id="1133864673">
          <w:marLeft w:val="0"/>
          <w:marRight w:val="0"/>
          <w:marTop w:val="0"/>
          <w:marBottom w:val="0"/>
          <w:divBdr>
            <w:top w:val="none" w:sz="0" w:space="0" w:color="auto"/>
            <w:left w:val="none" w:sz="0" w:space="0" w:color="auto"/>
            <w:bottom w:val="none" w:sz="0" w:space="0" w:color="auto"/>
            <w:right w:val="none" w:sz="0" w:space="0" w:color="auto"/>
          </w:divBdr>
        </w:div>
        <w:div w:id="1220172083">
          <w:marLeft w:val="0"/>
          <w:marRight w:val="0"/>
          <w:marTop w:val="0"/>
          <w:marBottom w:val="0"/>
          <w:divBdr>
            <w:top w:val="none" w:sz="0" w:space="0" w:color="auto"/>
            <w:left w:val="none" w:sz="0" w:space="0" w:color="auto"/>
            <w:bottom w:val="none" w:sz="0" w:space="0" w:color="auto"/>
            <w:right w:val="none" w:sz="0" w:space="0" w:color="auto"/>
          </w:divBdr>
        </w:div>
        <w:div w:id="1240560894">
          <w:marLeft w:val="0"/>
          <w:marRight w:val="0"/>
          <w:marTop w:val="0"/>
          <w:marBottom w:val="0"/>
          <w:divBdr>
            <w:top w:val="none" w:sz="0" w:space="0" w:color="auto"/>
            <w:left w:val="none" w:sz="0" w:space="0" w:color="auto"/>
            <w:bottom w:val="none" w:sz="0" w:space="0" w:color="auto"/>
            <w:right w:val="none" w:sz="0" w:space="0" w:color="auto"/>
          </w:divBdr>
        </w:div>
        <w:div w:id="1331525354">
          <w:marLeft w:val="0"/>
          <w:marRight w:val="0"/>
          <w:marTop w:val="0"/>
          <w:marBottom w:val="0"/>
          <w:divBdr>
            <w:top w:val="none" w:sz="0" w:space="0" w:color="auto"/>
            <w:left w:val="none" w:sz="0" w:space="0" w:color="auto"/>
            <w:bottom w:val="none" w:sz="0" w:space="0" w:color="auto"/>
            <w:right w:val="none" w:sz="0" w:space="0" w:color="auto"/>
          </w:divBdr>
        </w:div>
        <w:div w:id="1379813517">
          <w:marLeft w:val="0"/>
          <w:marRight w:val="0"/>
          <w:marTop w:val="0"/>
          <w:marBottom w:val="0"/>
          <w:divBdr>
            <w:top w:val="none" w:sz="0" w:space="0" w:color="auto"/>
            <w:left w:val="none" w:sz="0" w:space="0" w:color="auto"/>
            <w:bottom w:val="none" w:sz="0" w:space="0" w:color="auto"/>
            <w:right w:val="none" w:sz="0" w:space="0" w:color="auto"/>
          </w:divBdr>
        </w:div>
        <w:div w:id="1420565811">
          <w:marLeft w:val="0"/>
          <w:marRight w:val="0"/>
          <w:marTop w:val="0"/>
          <w:marBottom w:val="0"/>
          <w:divBdr>
            <w:top w:val="none" w:sz="0" w:space="0" w:color="auto"/>
            <w:left w:val="none" w:sz="0" w:space="0" w:color="auto"/>
            <w:bottom w:val="none" w:sz="0" w:space="0" w:color="auto"/>
            <w:right w:val="none" w:sz="0" w:space="0" w:color="auto"/>
          </w:divBdr>
        </w:div>
        <w:div w:id="1432892730">
          <w:marLeft w:val="0"/>
          <w:marRight w:val="0"/>
          <w:marTop w:val="0"/>
          <w:marBottom w:val="0"/>
          <w:divBdr>
            <w:top w:val="none" w:sz="0" w:space="0" w:color="auto"/>
            <w:left w:val="none" w:sz="0" w:space="0" w:color="auto"/>
            <w:bottom w:val="none" w:sz="0" w:space="0" w:color="auto"/>
            <w:right w:val="none" w:sz="0" w:space="0" w:color="auto"/>
          </w:divBdr>
        </w:div>
        <w:div w:id="1434548532">
          <w:marLeft w:val="0"/>
          <w:marRight w:val="0"/>
          <w:marTop w:val="0"/>
          <w:marBottom w:val="0"/>
          <w:divBdr>
            <w:top w:val="none" w:sz="0" w:space="0" w:color="auto"/>
            <w:left w:val="none" w:sz="0" w:space="0" w:color="auto"/>
            <w:bottom w:val="none" w:sz="0" w:space="0" w:color="auto"/>
            <w:right w:val="none" w:sz="0" w:space="0" w:color="auto"/>
          </w:divBdr>
        </w:div>
        <w:div w:id="1570850222">
          <w:marLeft w:val="0"/>
          <w:marRight w:val="0"/>
          <w:marTop w:val="0"/>
          <w:marBottom w:val="0"/>
          <w:divBdr>
            <w:top w:val="none" w:sz="0" w:space="0" w:color="auto"/>
            <w:left w:val="none" w:sz="0" w:space="0" w:color="auto"/>
            <w:bottom w:val="none" w:sz="0" w:space="0" w:color="auto"/>
            <w:right w:val="none" w:sz="0" w:space="0" w:color="auto"/>
          </w:divBdr>
        </w:div>
        <w:div w:id="1605766298">
          <w:marLeft w:val="0"/>
          <w:marRight w:val="0"/>
          <w:marTop w:val="0"/>
          <w:marBottom w:val="0"/>
          <w:divBdr>
            <w:top w:val="none" w:sz="0" w:space="0" w:color="auto"/>
            <w:left w:val="none" w:sz="0" w:space="0" w:color="auto"/>
            <w:bottom w:val="none" w:sz="0" w:space="0" w:color="auto"/>
            <w:right w:val="none" w:sz="0" w:space="0" w:color="auto"/>
          </w:divBdr>
        </w:div>
        <w:div w:id="1657800116">
          <w:marLeft w:val="0"/>
          <w:marRight w:val="0"/>
          <w:marTop w:val="0"/>
          <w:marBottom w:val="0"/>
          <w:divBdr>
            <w:top w:val="none" w:sz="0" w:space="0" w:color="auto"/>
            <w:left w:val="none" w:sz="0" w:space="0" w:color="auto"/>
            <w:bottom w:val="none" w:sz="0" w:space="0" w:color="auto"/>
            <w:right w:val="none" w:sz="0" w:space="0" w:color="auto"/>
          </w:divBdr>
        </w:div>
        <w:div w:id="1857648827">
          <w:marLeft w:val="0"/>
          <w:marRight w:val="0"/>
          <w:marTop w:val="0"/>
          <w:marBottom w:val="0"/>
          <w:divBdr>
            <w:top w:val="none" w:sz="0" w:space="0" w:color="auto"/>
            <w:left w:val="none" w:sz="0" w:space="0" w:color="auto"/>
            <w:bottom w:val="none" w:sz="0" w:space="0" w:color="auto"/>
            <w:right w:val="none" w:sz="0" w:space="0" w:color="auto"/>
          </w:divBdr>
        </w:div>
        <w:div w:id="1888643090">
          <w:marLeft w:val="0"/>
          <w:marRight w:val="0"/>
          <w:marTop w:val="0"/>
          <w:marBottom w:val="0"/>
          <w:divBdr>
            <w:top w:val="none" w:sz="0" w:space="0" w:color="auto"/>
            <w:left w:val="none" w:sz="0" w:space="0" w:color="auto"/>
            <w:bottom w:val="none" w:sz="0" w:space="0" w:color="auto"/>
            <w:right w:val="none" w:sz="0" w:space="0" w:color="auto"/>
          </w:divBdr>
        </w:div>
        <w:div w:id="1994870316">
          <w:marLeft w:val="0"/>
          <w:marRight w:val="0"/>
          <w:marTop w:val="0"/>
          <w:marBottom w:val="0"/>
          <w:divBdr>
            <w:top w:val="none" w:sz="0" w:space="0" w:color="auto"/>
            <w:left w:val="none" w:sz="0" w:space="0" w:color="auto"/>
            <w:bottom w:val="none" w:sz="0" w:space="0" w:color="auto"/>
            <w:right w:val="none" w:sz="0" w:space="0" w:color="auto"/>
          </w:divBdr>
        </w:div>
        <w:div w:id="2036152752">
          <w:marLeft w:val="0"/>
          <w:marRight w:val="0"/>
          <w:marTop w:val="0"/>
          <w:marBottom w:val="0"/>
          <w:divBdr>
            <w:top w:val="none" w:sz="0" w:space="0" w:color="auto"/>
            <w:left w:val="none" w:sz="0" w:space="0" w:color="auto"/>
            <w:bottom w:val="none" w:sz="0" w:space="0" w:color="auto"/>
            <w:right w:val="none" w:sz="0" w:space="0" w:color="auto"/>
          </w:divBdr>
        </w:div>
        <w:div w:id="2094621783">
          <w:marLeft w:val="0"/>
          <w:marRight w:val="0"/>
          <w:marTop w:val="0"/>
          <w:marBottom w:val="0"/>
          <w:divBdr>
            <w:top w:val="none" w:sz="0" w:space="0" w:color="auto"/>
            <w:left w:val="none" w:sz="0" w:space="0" w:color="auto"/>
            <w:bottom w:val="none" w:sz="0" w:space="0" w:color="auto"/>
            <w:right w:val="none" w:sz="0" w:space="0" w:color="auto"/>
          </w:divBdr>
        </w:div>
      </w:divsChild>
    </w:div>
    <w:div w:id="234096540">
      <w:bodyDiv w:val="1"/>
      <w:marLeft w:val="0"/>
      <w:marRight w:val="0"/>
      <w:marTop w:val="0"/>
      <w:marBottom w:val="0"/>
      <w:divBdr>
        <w:top w:val="none" w:sz="0" w:space="0" w:color="auto"/>
        <w:left w:val="none" w:sz="0" w:space="0" w:color="auto"/>
        <w:bottom w:val="none" w:sz="0" w:space="0" w:color="auto"/>
        <w:right w:val="none" w:sz="0" w:space="0" w:color="auto"/>
      </w:divBdr>
    </w:div>
    <w:div w:id="275063396">
      <w:bodyDiv w:val="1"/>
      <w:marLeft w:val="0"/>
      <w:marRight w:val="0"/>
      <w:marTop w:val="0"/>
      <w:marBottom w:val="0"/>
      <w:divBdr>
        <w:top w:val="none" w:sz="0" w:space="0" w:color="auto"/>
        <w:left w:val="none" w:sz="0" w:space="0" w:color="auto"/>
        <w:bottom w:val="none" w:sz="0" w:space="0" w:color="auto"/>
        <w:right w:val="none" w:sz="0" w:space="0" w:color="auto"/>
      </w:divBdr>
    </w:div>
    <w:div w:id="438108356">
      <w:bodyDiv w:val="1"/>
      <w:marLeft w:val="0"/>
      <w:marRight w:val="0"/>
      <w:marTop w:val="0"/>
      <w:marBottom w:val="0"/>
      <w:divBdr>
        <w:top w:val="none" w:sz="0" w:space="0" w:color="auto"/>
        <w:left w:val="none" w:sz="0" w:space="0" w:color="auto"/>
        <w:bottom w:val="none" w:sz="0" w:space="0" w:color="auto"/>
        <w:right w:val="none" w:sz="0" w:space="0" w:color="auto"/>
      </w:divBdr>
    </w:div>
    <w:div w:id="443891035">
      <w:bodyDiv w:val="1"/>
      <w:marLeft w:val="0"/>
      <w:marRight w:val="0"/>
      <w:marTop w:val="0"/>
      <w:marBottom w:val="0"/>
      <w:divBdr>
        <w:top w:val="none" w:sz="0" w:space="0" w:color="auto"/>
        <w:left w:val="none" w:sz="0" w:space="0" w:color="auto"/>
        <w:bottom w:val="none" w:sz="0" w:space="0" w:color="auto"/>
        <w:right w:val="none" w:sz="0" w:space="0" w:color="auto"/>
      </w:divBdr>
    </w:div>
    <w:div w:id="507406504">
      <w:bodyDiv w:val="1"/>
      <w:marLeft w:val="0"/>
      <w:marRight w:val="0"/>
      <w:marTop w:val="0"/>
      <w:marBottom w:val="0"/>
      <w:divBdr>
        <w:top w:val="none" w:sz="0" w:space="0" w:color="auto"/>
        <w:left w:val="none" w:sz="0" w:space="0" w:color="auto"/>
        <w:bottom w:val="none" w:sz="0" w:space="0" w:color="auto"/>
        <w:right w:val="none" w:sz="0" w:space="0" w:color="auto"/>
      </w:divBdr>
    </w:div>
    <w:div w:id="516887123">
      <w:bodyDiv w:val="1"/>
      <w:marLeft w:val="0"/>
      <w:marRight w:val="0"/>
      <w:marTop w:val="0"/>
      <w:marBottom w:val="0"/>
      <w:divBdr>
        <w:top w:val="none" w:sz="0" w:space="0" w:color="auto"/>
        <w:left w:val="none" w:sz="0" w:space="0" w:color="auto"/>
        <w:bottom w:val="none" w:sz="0" w:space="0" w:color="auto"/>
        <w:right w:val="none" w:sz="0" w:space="0" w:color="auto"/>
      </w:divBdr>
    </w:div>
    <w:div w:id="546256901">
      <w:bodyDiv w:val="1"/>
      <w:marLeft w:val="0"/>
      <w:marRight w:val="0"/>
      <w:marTop w:val="0"/>
      <w:marBottom w:val="0"/>
      <w:divBdr>
        <w:top w:val="none" w:sz="0" w:space="0" w:color="auto"/>
        <w:left w:val="none" w:sz="0" w:space="0" w:color="auto"/>
        <w:bottom w:val="none" w:sz="0" w:space="0" w:color="auto"/>
        <w:right w:val="none" w:sz="0" w:space="0" w:color="auto"/>
      </w:divBdr>
    </w:div>
    <w:div w:id="588468254">
      <w:bodyDiv w:val="1"/>
      <w:marLeft w:val="0"/>
      <w:marRight w:val="0"/>
      <w:marTop w:val="0"/>
      <w:marBottom w:val="0"/>
      <w:divBdr>
        <w:top w:val="none" w:sz="0" w:space="0" w:color="auto"/>
        <w:left w:val="none" w:sz="0" w:space="0" w:color="auto"/>
        <w:bottom w:val="none" w:sz="0" w:space="0" w:color="auto"/>
        <w:right w:val="none" w:sz="0" w:space="0" w:color="auto"/>
      </w:divBdr>
      <w:divsChild>
        <w:div w:id="1614677697">
          <w:marLeft w:val="0"/>
          <w:marRight w:val="0"/>
          <w:marTop w:val="0"/>
          <w:marBottom w:val="0"/>
          <w:divBdr>
            <w:top w:val="none" w:sz="0" w:space="0" w:color="auto"/>
            <w:left w:val="none" w:sz="0" w:space="0" w:color="auto"/>
            <w:bottom w:val="none" w:sz="0" w:space="0" w:color="auto"/>
            <w:right w:val="none" w:sz="0" w:space="0" w:color="auto"/>
          </w:divBdr>
          <w:divsChild>
            <w:div w:id="1701316808">
              <w:marLeft w:val="0"/>
              <w:marRight w:val="0"/>
              <w:marTop w:val="0"/>
              <w:marBottom w:val="0"/>
              <w:divBdr>
                <w:top w:val="none" w:sz="0" w:space="0" w:color="auto"/>
                <w:left w:val="none" w:sz="0" w:space="0" w:color="auto"/>
                <w:bottom w:val="none" w:sz="0" w:space="0" w:color="auto"/>
                <w:right w:val="none" w:sz="0" w:space="0" w:color="auto"/>
              </w:divBdr>
              <w:divsChild>
                <w:div w:id="47151619">
                  <w:marLeft w:val="0"/>
                  <w:marRight w:val="0"/>
                  <w:marTop w:val="0"/>
                  <w:marBottom w:val="0"/>
                  <w:divBdr>
                    <w:top w:val="none" w:sz="0" w:space="0" w:color="auto"/>
                    <w:left w:val="none" w:sz="0" w:space="0" w:color="auto"/>
                    <w:bottom w:val="none" w:sz="0" w:space="0" w:color="auto"/>
                    <w:right w:val="none" w:sz="0" w:space="0" w:color="auto"/>
                  </w:divBdr>
                </w:div>
                <w:div w:id="195891307">
                  <w:marLeft w:val="0"/>
                  <w:marRight w:val="0"/>
                  <w:marTop w:val="0"/>
                  <w:marBottom w:val="0"/>
                  <w:divBdr>
                    <w:top w:val="none" w:sz="0" w:space="0" w:color="auto"/>
                    <w:left w:val="none" w:sz="0" w:space="0" w:color="auto"/>
                    <w:bottom w:val="none" w:sz="0" w:space="0" w:color="auto"/>
                    <w:right w:val="none" w:sz="0" w:space="0" w:color="auto"/>
                  </w:divBdr>
                </w:div>
                <w:div w:id="535385700">
                  <w:marLeft w:val="0"/>
                  <w:marRight w:val="0"/>
                  <w:marTop w:val="0"/>
                  <w:marBottom w:val="0"/>
                  <w:divBdr>
                    <w:top w:val="none" w:sz="0" w:space="0" w:color="auto"/>
                    <w:left w:val="none" w:sz="0" w:space="0" w:color="auto"/>
                    <w:bottom w:val="none" w:sz="0" w:space="0" w:color="auto"/>
                    <w:right w:val="none" w:sz="0" w:space="0" w:color="auto"/>
                  </w:divBdr>
                </w:div>
                <w:div w:id="636225500">
                  <w:marLeft w:val="0"/>
                  <w:marRight w:val="0"/>
                  <w:marTop w:val="0"/>
                  <w:marBottom w:val="0"/>
                  <w:divBdr>
                    <w:top w:val="none" w:sz="0" w:space="0" w:color="auto"/>
                    <w:left w:val="none" w:sz="0" w:space="0" w:color="auto"/>
                    <w:bottom w:val="none" w:sz="0" w:space="0" w:color="auto"/>
                    <w:right w:val="none" w:sz="0" w:space="0" w:color="auto"/>
                  </w:divBdr>
                </w:div>
                <w:div w:id="665941569">
                  <w:marLeft w:val="0"/>
                  <w:marRight w:val="0"/>
                  <w:marTop w:val="0"/>
                  <w:marBottom w:val="0"/>
                  <w:divBdr>
                    <w:top w:val="none" w:sz="0" w:space="0" w:color="auto"/>
                    <w:left w:val="none" w:sz="0" w:space="0" w:color="auto"/>
                    <w:bottom w:val="none" w:sz="0" w:space="0" w:color="auto"/>
                    <w:right w:val="none" w:sz="0" w:space="0" w:color="auto"/>
                  </w:divBdr>
                </w:div>
                <w:div w:id="987827438">
                  <w:marLeft w:val="0"/>
                  <w:marRight w:val="0"/>
                  <w:marTop w:val="0"/>
                  <w:marBottom w:val="0"/>
                  <w:divBdr>
                    <w:top w:val="none" w:sz="0" w:space="0" w:color="auto"/>
                    <w:left w:val="none" w:sz="0" w:space="0" w:color="auto"/>
                    <w:bottom w:val="none" w:sz="0" w:space="0" w:color="auto"/>
                    <w:right w:val="none" w:sz="0" w:space="0" w:color="auto"/>
                  </w:divBdr>
                </w:div>
                <w:div w:id="1423339535">
                  <w:marLeft w:val="0"/>
                  <w:marRight w:val="0"/>
                  <w:marTop w:val="0"/>
                  <w:marBottom w:val="0"/>
                  <w:divBdr>
                    <w:top w:val="none" w:sz="0" w:space="0" w:color="auto"/>
                    <w:left w:val="none" w:sz="0" w:space="0" w:color="auto"/>
                    <w:bottom w:val="none" w:sz="0" w:space="0" w:color="auto"/>
                    <w:right w:val="none" w:sz="0" w:space="0" w:color="auto"/>
                  </w:divBdr>
                </w:div>
                <w:div w:id="1612399093">
                  <w:marLeft w:val="0"/>
                  <w:marRight w:val="0"/>
                  <w:marTop w:val="0"/>
                  <w:marBottom w:val="0"/>
                  <w:divBdr>
                    <w:top w:val="none" w:sz="0" w:space="0" w:color="auto"/>
                    <w:left w:val="none" w:sz="0" w:space="0" w:color="auto"/>
                    <w:bottom w:val="none" w:sz="0" w:space="0" w:color="auto"/>
                    <w:right w:val="none" w:sz="0" w:space="0" w:color="auto"/>
                  </w:divBdr>
                </w:div>
                <w:div w:id="1699619208">
                  <w:marLeft w:val="0"/>
                  <w:marRight w:val="0"/>
                  <w:marTop w:val="0"/>
                  <w:marBottom w:val="0"/>
                  <w:divBdr>
                    <w:top w:val="none" w:sz="0" w:space="0" w:color="auto"/>
                    <w:left w:val="none" w:sz="0" w:space="0" w:color="auto"/>
                    <w:bottom w:val="none" w:sz="0" w:space="0" w:color="auto"/>
                    <w:right w:val="none" w:sz="0" w:space="0" w:color="auto"/>
                  </w:divBdr>
                </w:div>
                <w:div w:id="1971594632">
                  <w:marLeft w:val="0"/>
                  <w:marRight w:val="0"/>
                  <w:marTop w:val="0"/>
                  <w:marBottom w:val="0"/>
                  <w:divBdr>
                    <w:top w:val="none" w:sz="0" w:space="0" w:color="auto"/>
                    <w:left w:val="none" w:sz="0" w:space="0" w:color="auto"/>
                    <w:bottom w:val="none" w:sz="0" w:space="0" w:color="auto"/>
                    <w:right w:val="none" w:sz="0" w:space="0" w:color="auto"/>
                  </w:divBdr>
                </w:div>
                <w:div w:id="21348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9312">
          <w:marLeft w:val="0"/>
          <w:marRight w:val="0"/>
          <w:marTop w:val="0"/>
          <w:marBottom w:val="0"/>
          <w:divBdr>
            <w:top w:val="none" w:sz="0" w:space="0" w:color="auto"/>
            <w:left w:val="none" w:sz="0" w:space="0" w:color="auto"/>
            <w:bottom w:val="none" w:sz="0" w:space="0" w:color="auto"/>
            <w:right w:val="none" w:sz="0" w:space="0" w:color="auto"/>
          </w:divBdr>
          <w:divsChild>
            <w:div w:id="1715302241">
              <w:marLeft w:val="0"/>
              <w:marRight w:val="0"/>
              <w:marTop w:val="0"/>
              <w:marBottom w:val="0"/>
              <w:divBdr>
                <w:top w:val="none" w:sz="0" w:space="0" w:color="auto"/>
                <w:left w:val="none" w:sz="0" w:space="0" w:color="auto"/>
                <w:bottom w:val="none" w:sz="0" w:space="0" w:color="auto"/>
                <w:right w:val="none" w:sz="0" w:space="0" w:color="auto"/>
              </w:divBdr>
              <w:divsChild>
                <w:div w:id="80956749">
                  <w:marLeft w:val="0"/>
                  <w:marRight w:val="0"/>
                  <w:marTop w:val="0"/>
                  <w:marBottom w:val="0"/>
                  <w:divBdr>
                    <w:top w:val="none" w:sz="0" w:space="0" w:color="auto"/>
                    <w:left w:val="none" w:sz="0" w:space="0" w:color="auto"/>
                    <w:bottom w:val="none" w:sz="0" w:space="0" w:color="auto"/>
                    <w:right w:val="none" w:sz="0" w:space="0" w:color="auto"/>
                  </w:divBdr>
                </w:div>
                <w:div w:id="224802684">
                  <w:marLeft w:val="0"/>
                  <w:marRight w:val="0"/>
                  <w:marTop w:val="0"/>
                  <w:marBottom w:val="0"/>
                  <w:divBdr>
                    <w:top w:val="none" w:sz="0" w:space="0" w:color="auto"/>
                    <w:left w:val="none" w:sz="0" w:space="0" w:color="auto"/>
                    <w:bottom w:val="none" w:sz="0" w:space="0" w:color="auto"/>
                    <w:right w:val="none" w:sz="0" w:space="0" w:color="auto"/>
                  </w:divBdr>
                </w:div>
                <w:div w:id="232618055">
                  <w:marLeft w:val="0"/>
                  <w:marRight w:val="0"/>
                  <w:marTop w:val="0"/>
                  <w:marBottom w:val="0"/>
                  <w:divBdr>
                    <w:top w:val="none" w:sz="0" w:space="0" w:color="auto"/>
                    <w:left w:val="none" w:sz="0" w:space="0" w:color="auto"/>
                    <w:bottom w:val="none" w:sz="0" w:space="0" w:color="auto"/>
                    <w:right w:val="none" w:sz="0" w:space="0" w:color="auto"/>
                  </w:divBdr>
                </w:div>
                <w:div w:id="342322570">
                  <w:marLeft w:val="0"/>
                  <w:marRight w:val="0"/>
                  <w:marTop w:val="0"/>
                  <w:marBottom w:val="0"/>
                  <w:divBdr>
                    <w:top w:val="none" w:sz="0" w:space="0" w:color="auto"/>
                    <w:left w:val="none" w:sz="0" w:space="0" w:color="auto"/>
                    <w:bottom w:val="none" w:sz="0" w:space="0" w:color="auto"/>
                    <w:right w:val="none" w:sz="0" w:space="0" w:color="auto"/>
                  </w:divBdr>
                </w:div>
                <w:div w:id="440536270">
                  <w:marLeft w:val="0"/>
                  <w:marRight w:val="0"/>
                  <w:marTop w:val="0"/>
                  <w:marBottom w:val="0"/>
                  <w:divBdr>
                    <w:top w:val="none" w:sz="0" w:space="0" w:color="auto"/>
                    <w:left w:val="none" w:sz="0" w:space="0" w:color="auto"/>
                    <w:bottom w:val="none" w:sz="0" w:space="0" w:color="auto"/>
                    <w:right w:val="none" w:sz="0" w:space="0" w:color="auto"/>
                  </w:divBdr>
                </w:div>
                <w:div w:id="519203620">
                  <w:marLeft w:val="0"/>
                  <w:marRight w:val="0"/>
                  <w:marTop w:val="0"/>
                  <w:marBottom w:val="0"/>
                  <w:divBdr>
                    <w:top w:val="none" w:sz="0" w:space="0" w:color="auto"/>
                    <w:left w:val="none" w:sz="0" w:space="0" w:color="auto"/>
                    <w:bottom w:val="none" w:sz="0" w:space="0" w:color="auto"/>
                    <w:right w:val="none" w:sz="0" w:space="0" w:color="auto"/>
                  </w:divBdr>
                </w:div>
                <w:div w:id="587159027">
                  <w:marLeft w:val="0"/>
                  <w:marRight w:val="0"/>
                  <w:marTop w:val="0"/>
                  <w:marBottom w:val="0"/>
                  <w:divBdr>
                    <w:top w:val="none" w:sz="0" w:space="0" w:color="auto"/>
                    <w:left w:val="none" w:sz="0" w:space="0" w:color="auto"/>
                    <w:bottom w:val="none" w:sz="0" w:space="0" w:color="auto"/>
                    <w:right w:val="none" w:sz="0" w:space="0" w:color="auto"/>
                  </w:divBdr>
                </w:div>
                <w:div w:id="614017363">
                  <w:marLeft w:val="0"/>
                  <w:marRight w:val="0"/>
                  <w:marTop w:val="0"/>
                  <w:marBottom w:val="0"/>
                  <w:divBdr>
                    <w:top w:val="none" w:sz="0" w:space="0" w:color="auto"/>
                    <w:left w:val="none" w:sz="0" w:space="0" w:color="auto"/>
                    <w:bottom w:val="none" w:sz="0" w:space="0" w:color="auto"/>
                    <w:right w:val="none" w:sz="0" w:space="0" w:color="auto"/>
                  </w:divBdr>
                </w:div>
                <w:div w:id="930242386">
                  <w:marLeft w:val="0"/>
                  <w:marRight w:val="0"/>
                  <w:marTop w:val="0"/>
                  <w:marBottom w:val="0"/>
                  <w:divBdr>
                    <w:top w:val="none" w:sz="0" w:space="0" w:color="auto"/>
                    <w:left w:val="none" w:sz="0" w:space="0" w:color="auto"/>
                    <w:bottom w:val="none" w:sz="0" w:space="0" w:color="auto"/>
                    <w:right w:val="none" w:sz="0" w:space="0" w:color="auto"/>
                  </w:divBdr>
                </w:div>
                <w:div w:id="1043558583">
                  <w:marLeft w:val="0"/>
                  <w:marRight w:val="0"/>
                  <w:marTop w:val="0"/>
                  <w:marBottom w:val="0"/>
                  <w:divBdr>
                    <w:top w:val="none" w:sz="0" w:space="0" w:color="auto"/>
                    <w:left w:val="none" w:sz="0" w:space="0" w:color="auto"/>
                    <w:bottom w:val="none" w:sz="0" w:space="0" w:color="auto"/>
                    <w:right w:val="none" w:sz="0" w:space="0" w:color="auto"/>
                  </w:divBdr>
                </w:div>
                <w:div w:id="1044065491">
                  <w:marLeft w:val="0"/>
                  <w:marRight w:val="0"/>
                  <w:marTop w:val="0"/>
                  <w:marBottom w:val="0"/>
                  <w:divBdr>
                    <w:top w:val="none" w:sz="0" w:space="0" w:color="auto"/>
                    <w:left w:val="none" w:sz="0" w:space="0" w:color="auto"/>
                    <w:bottom w:val="none" w:sz="0" w:space="0" w:color="auto"/>
                    <w:right w:val="none" w:sz="0" w:space="0" w:color="auto"/>
                  </w:divBdr>
                </w:div>
                <w:div w:id="1054550732">
                  <w:marLeft w:val="0"/>
                  <w:marRight w:val="0"/>
                  <w:marTop w:val="0"/>
                  <w:marBottom w:val="0"/>
                  <w:divBdr>
                    <w:top w:val="none" w:sz="0" w:space="0" w:color="auto"/>
                    <w:left w:val="none" w:sz="0" w:space="0" w:color="auto"/>
                    <w:bottom w:val="none" w:sz="0" w:space="0" w:color="auto"/>
                    <w:right w:val="none" w:sz="0" w:space="0" w:color="auto"/>
                  </w:divBdr>
                </w:div>
                <w:div w:id="1078556862">
                  <w:marLeft w:val="0"/>
                  <w:marRight w:val="0"/>
                  <w:marTop w:val="0"/>
                  <w:marBottom w:val="0"/>
                  <w:divBdr>
                    <w:top w:val="none" w:sz="0" w:space="0" w:color="auto"/>
                    <w:left w:val="none" w:sz="0" w:space="0" w:color="auto"/>
                    <w:bottom w:val="none" w:sz="0" w:space="0" w:color="auto"/>
                    <w:right w:val="none" w:sz="0" w:space="0" w:color="auto"/>
                  </w:divBdr>
                </w:div>
                <w:div w:id="1274433920">
                  <w:marLeft w:val="0"/>
                  <w:marRight w:val="0"/>
                  <w:marTop w:val="0"/>
                  <w:marBottom w:val="0"/>
                  <w:divBdr>
                    <w:top w:val="none" w:sz="0" w:space="0" w:color="auto"/>
                    <w:left w:val="none" w:sz="0" w:space="0" w:color="auto"/>
                    <w:bottom w:val="none" w:sz="0" w:space="0" w:color="auto"/>
                    <w:right w:val="none" w:sz="0" w:space="0" w:color="auto"/>
                  </w:divBdr>
                </w:div>
                <w:div w:id="1282571221">
                  <w:marLeft w:val="0"/>
                  <w:marRight w:val="0"/>
                  <w:marTop w:val="0"/>
                  <w:marBottom w:val="0"/>
                  <w:divBdr>
                    <w:top w:val="none" w:sz="0" w:space="0" w:color="auto"/>
                    <w:left w:val="none" w:sz="0" w:space="0" w:color="auto"/>
                    <w:bottom w:val="none" w:sz="0" w:space="0" w:color="auto"/>
                    <w:right w:val="none" w:sz="0" w:space="0" w:color="auto"/>
                  </w:divBdr>
                </w:div>
                <w:div w:id="1302660437">
                  <w:marLeft w:val="0"/>
                  <w:marRight w:val="0"/>
                  <w:marTop w:val="0"/>
                  <w:marBottom w:val="0"/>
                  <w:divBdr>
                    <w:top w:val="none" w:sz="0" w:space="0" w:color="auto"/>
                    <w:left w:val="none" w:sz="0" w:space="0" w:color="auto"/>
                    <w:bottom w:val="none" w:sz="0" w:space="0" w:color="auto"/>
                    <w:right w:val="none" w:sz="0" w:space="0" w:color="auto"/>
                  </w:divBdr>
                </w:div>
                <w:div w:id="1343164597">
                  <w:marLeft w:val="0"/>
                  <w:marRight w:val="0"/>
                  <w:marTop w:val="0"/>
                  <w:marBottom w:val="0"/>
                  <w:divBdr>
                    <w:top w:val="none" w:sz="0" w:space="0" w:color="auto"/>
                    <w:left w:val="none" w:sz="0" w:space="0" w:color="auto"/>
                    <w:bottom w:val="none" w:sz="0" w:space="0" w:color="auto"/>
                    <w:right w:val="none" w:sz="0" w:space="0" w:color="auto"/>
                  </w:divBdr>
                </w:div>
                <w:div w:id="1373651757">
                  <w:marLeft w:val="0"/>
                  <w:marRight w:val="0"/>
                  <w:marTop w:val="0"/>
                  <w:marBottom w:val="0"/>
                  <w:divBdr>
                    <w:top w:val="none" w:sz="0" w:space="0" w:color="auto"/>
                    <w:left w:val="none" w:sz="0" w:space="0" w:color="auto"/>
                    <w:bottom w:val="none" w:sz="0" w:space="0" w:color="auto"/>
                    <w:right w:val="none" w:sz="0" w:space="0" w:color="auto"/>
                  </w:divBdr>
                </w:div>
                <w:div w:id="1594582647">
                  <w:marLeft w:val="0"/>
                  <w:marRight w:val="0"/>
                  <w:marTop w:val="0"/>
                  <w:marBottom w:val="0"/>
                  <w:divBdr>
                    <w:top w:val="none" w:sz="0" w:space="0" w:color="auto"/>
                    <w:left w:val="none" w:sz="0" w:space="0" w:color="auto"/>
                    <w:bottom w:val="none" w:sz="0" w:space="0" w:color="auto"/>
                    <w:right w:val="none" w:sz="0" w:space="0" w:color="auto"/>
                  </w:divBdr>
                </w:div>
                <w:div w:id="1678996933">
                  <w:marLeft w:val="0"/>
                  <w:marRight w:val="0"/>
                  <w:marTop w:val="0"/>
                  <w:marBottom w:val="0"/>
                  <w:divBdr>
                    <w:top w:val="none" w:sz="0" w:space="0" w:color="auto"/>
                    <w:left w:val="none" w:sz="0" w:space="0" w:color="auto"/>
                    <w:bottom w:val="none" w:sz="0" w:space="0" w:color="auto"/>
                    <w:right w:val="none" w:sz="0" w:space="0" w:color="auto"/>
                  </w:divBdr>
                </w:div>
                <w:div w:id="1691487287">
                  <w:marLeft w:val="0"/>
                  <w:marRight w:val="0"/>
                  <w:marTop w:val="0"/>
                  <w:marBottom w:val="0"/>
                  <w:divBdr>
                    <w:top w:val="none" w:sz="0" w:space="0" w:color="auto"/>
                    <w:left w:val="none" w:sz="0" w:space="0" w:color="auto"/>
                    <w:bottom w:val="none" w:sz="0" w:space="0" w:color="auto"/>
                    <w:right w:val="none" w:sz="0" w:space="0" w:color="auto"/>
                  </w:divBdr>
                </w:div>
                <w:div w:id="1897662414">
                  <w:marLeft w:val="0"/>
                  <w:marRight w:val="0"/>
                  <w:marTop w:val="0"/>
                  <w:marBottom w:val="0"/>
                  <w:divBdr>
                    <w:top w:val="none" w:sz="0" w:space="0" w:color="auto"/>
                    <w:left w:val="none" w:sz="0" w:space="0" w:color="auto"/>
                    <w:bottom w:val="none" w:sz="0" w:space="0" w:color="auto"/>
                    <w:right w:val="none" w:sz="0" w:space="0" w:color="auto"/>
                  </w:divBdr>
                </w:div>
                <w:div w:id="1915045297">
                  <w:marLeft w:val="0"/>
                  <w:marRight w:val="0"/>
                  <w:marTop w:val="0"/>
                  <w:marBottom w:val="0"/>
                  <w:divBdr>
                    <w:top w:val="none" w:sz="0" w:space="0" w:color="auto"/>
                    <w:left w:val="none" w:sz="0" w:space="0" w:color="auto"/>
                    <w:bottom w:val="none" w:sz="0" w:space="0" w:color="auto"/>
                    <w:right w:val="none" w:sz="0" w:space="0" w:color="auto"/>
                  </w:divBdr>
                </w:div>
                <w:div w:id="1938361710">
                  <w:marLeft w:val="0"/>
                  <w:marRight w:val="0"/>
                  <w:marTop w:val="0"/>
                  <w:marBottom w:val="0"/>
                  <w:divBdr>
                    <w:top w:val="none" w:sz="0" w:space="0" w:color="auto"/>
                    <w:left w:val="none" w:sz="0" w:space="0" w:color="auto"/>
                    <w:bottom w:val="none" w:sz="0" w:space="0" w:color="auto"/>
                    <w:right w:val="none" w:sz="0" w:space="0" w:color="auto"/>
                  </w:divBdr>
                </w:div>
                <w:div w:id="1992058856">
                  <w:marLeft w:val="0"/>
                  <w:marRight w:val="0"/>
                  <w:marTop w:val="0"/>
                  <w:marBottom w:val="0"/>
                  <w:divBdr>
                    <w:top w:val="none" w:sz="0" w:space="0" w:color="auto"/>
                    <w:left w:val="none" w:sz="0" w:space="0" w:color="auto"/>
                    <w:bottom w:val="none" w:sz="0" w:space="0" w:color="auto"/>
                    <w:right w:val="none" w:sz="0" w:space="0" w:color="auto"/>
                  </w:divBdr>
                </w:div>
                <w:div w:id="2031057178">
                  <w:marLeft w:val="0"/>
                  <w:marRight w:val="0"/>
                  <w:marTop w:val="0"/>
                  <w:marBottom w:val="0"/>
                  <w:divBdr>
                    <w:top w:val="none" w:sz="0" w:space="0" w:color="auto"/>
                    <w:left w:val="none" w:sz="0" w:space="0" w:color="auto"/>
                    <w:bottom w:val="none" w:sz="0" w:space="0" w:color="auto"/>
                    <w:right w:val="none" w:sz="0" w:space="0" w:color="auto"/>
                  </w:divBdr>
                </w:div>
                <w:div w:id="2061509777">
                  <w:marLeft w:val="0"/>
                  <w:marRight w:val="0"/>
                  <w:marTop w:val="0"/>
                  <w:marBottom w:val="0"/>
                  <w:divBdr>
                    <w:top w:val="none" w:sz="0" w:space="0" w:color="auto"/>
                    <w:left w:val="none" w:sz="0" w:space="0" w:color="auto"/>
                    <w:bottom w:val="none" w:sz="0" w:space="0" w:color="auto"/>
                    <w:right w:val="none" w:sz="0" w:space="0" w:color="auto"/>
                  </w:divBdr>
                </w:div>
                <w:div w:id="21001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92274">
      <w:bodyDiv w:val="1"/>
      <w:marLeft w:val="0"/>
      <w:marRight w:val="0"/>
      <w:marTop w:val="0"/>
      <w:marBottom w:val="0"/>
      <w:divBdr>
        <w:top w:val="none" w:sz="0" w:space="0" w:color="auto"/>
        <w:left w:val="none" w:sz="0" w:space="0" w:color="auto"/>
        <w:bottom w:val="none" w:sz="0" w:space="0" w:color="auto"/>
        <w:right w:val="none" w:sz="0" w:space="0" w:color="auto"/>
      </w:divBdr>
      <w:divsChild>
        <w:div w:id="230892265">
          <w:marLeft w:val="0"/>
          <w:marRight w:val="0"/>
          <w:marTop w:val="0"/>
          <w:marBottom w:val="0"/>
          <w:divBdr>
            <w:top w:val="none" w:sz="0" w:space="0" w:color="auto"/>
            <w:left w:val="none" w:sz="0" w:space="0" w:color="auto"/>
            <w:bottom w:val="none" w:sz="0" w:space="0" w:color="auto"/>
            <w:right w:val="none" w:sz="0" w:space="0" w:color="auto"/>
          </w:divBdr>
        </w:div>
        <w:div w:id="341854571">
          <w:marLeft w:val="0"/>
          <w:marRight w:val="0"/>
          <w:marTop w:val="0"/>
          <w:marBottom w:val="0"/>
          <w:divBdr>
            <w:top w:val="none" w:sz="0" w:space="0" w:color="auto"/>
            <w:left w:val="none" w:sz="0" w:space="0" w:color="auto"/>
            <w:bottom w:val="none" w:sz="0" w:space="0" w:color="auto"/>
            <w:right w:val="none" w:sz="0" w:space="0" w:color="auto"/>
          </w:divBdr>
        </w:div>
        <w:div w:id="371614822">
          <w:marLeft w:val="0"/>
          <w:marRight w:val="0"/>
          <w:marTop w:val="0"/>
          <w:marBottom w:val="0"/>
          <w:divBdr>
            <w:top w:val="none" w:sz="0" w:space="0" w:color="auto"/>
            <w:left w:val="none" w:sz="0" w:space="0" w:color="auto"/>
            <w:bottom w:val="none" w:sz="0" w:space="0" w:color="auto"/>
            <w:right w:val="none" w:sz="0" w:space="0" w:color="auto"/>
          </w:divBdr>
        </w:div>
        <w:div w:id="511141212">
          <w:marLeft w:val="0"/>
          <w:marRight w:val="0"/>
          <w:marTop w:val="0"/>
          <w:marBottom w:val="0"/>
          <w:divBdr>
            <w:top w:val="none" w:sz="0" w:space="0" w:color="auto"/>
            <w:left w:val="none" w:sz="0" w:space="0" w:color="auto"/>
            <w:bottom w:val="none" w:sz="0" w:space="0" w:color="auto"/>
            <w:right w:val="none" w:sz="0" w:space="0" w:color="auto"/>
          </w:divBdr>
        </w:div>
        <w:div w:id="521482819">
          <w:marLeft w:val="0"/>
          <w:marRight w:val="0"/>
          <w:marTop w:val="0"/>
          <w:marBottom w:val="0"/>
          <w:divBdr>
            <w:top w:val="none" w:sz="0" w:space="0" w:color="auto"/>
            <w:left w:val="none" w:sz="0" w:space="0" w:color="auto"/>
            <w:bottom w:val="none" w:sz="0" w:space="0" w:color="auto"/>
            <w:right w:val="none" w:sz="0" w:space="0" w:color="auto"/>
          </w:divBdr>
        </w:div>
        <w:div w:id="640694268">
          <w:marLeft w:val="0"/>
          <w:marRight w:val="0"/>
          <w:marTop w:val="0"/>
          <w:marBottom w:val="0"/>
          <w:divBdr>
            <w:top w:val="none" w:sz="0" w:space="0" w:color="auto"/>
            <w:left w:val="none" w:sz="0" w:space="0" w:color="auto"/>
            <w:bottom w:val="none" w:sz="0" w:space="0" w:color="auto"/>
            <w:right w:val="none" w:sz="0" w:space="0" w:color="auto"/>
          </w:divBdr>
        </w:div>
        <w:div w:id="855310569">
          <w:marLeft w:val="0"/>
          <w:marRight w:val="0"/>
          <w:marTop w:val="0"/>
          <w:marBottom w:val="0"/>
          <w:divBdr>
            <w:top w:val="none" w:sz="0" w:space="0" w:color="auto"/>
            <w:left w:val="none" w:sz="0" w:space="0" w:color="auto"/>
            <w:bottom w:val="none" w:sz="0" w:space="0" w:color="auto"/>
            <w:right w:val="none" w:sz="0" w:space="0" w:color="auto"/>
          </w:divBdr>
        </w:div>
        <w:div w:id="880631224">
          <w:marLeft w:val="0"/>
          <w:marRight w:val="0"/>
          <w:marTop w:val="0"/>
          <w:marBottom w:val="0"/>
          <w:divBdr>
            <w:top w:val="none" w:sz="0" w:space="0" w:color="auto"/>
            <w:left w:val="none" w:sz="0" w:space="0" w:color="auto"/>
            <w:bottom w:val="none" w:sz="0" w:space="0" w:color="auto"/>
            <w:right w:val="none" w:sz="0" w:space="0" w:color="auto"/>
          </w:divBdr>
        </w:div>
        <w:div w:id="977682508">
          <w:marLeft w:val="0"/>
          <w:marRight w:val="0"/>
          <w:marTop w:val="0"/>
          <w:marBottom w:val="0"/>
          <w:divBdr>
            <w:top w:val="none" w:sz="0" w:space="0" w:color="auto"/>
            <w:left w:val="none" w:sz="0" w:space="0" w:color="auto"/>
            <w:bottom w:val="none" w:sz="0" w:space="0" w:color="auto"/>
            <w:right w:val="none" w:sz="0" w:space="0" w:color="auto"/>
          </w:divBdr>
        </w:div>
        <w:div w:id="1051229295">
          <w:marLeft w:val="0"/>
          <w:marRight w:val="0"/>
          <w:marTop w:val="0"/>
          <w:marBottom w:val="0"/>
          <w:divBdr>
            <w:top w:val="none" w:sz="0" w:space="0" w:color="auto"/>
            <w:left w:val="none" w:sz="0" w:space="0" w:color="auto"/>
            <w:bottom w:val="none" w:sz="0" w:space="0" w:color="auto"/>
            <w:right w:val="none" w:sz="0" w:space="0" w:color="auto"/>
          </w:divBdr>
        </w:div>
        <w:div w:id="1058626169">
          <w:marLeft w:val="0"/>
          <w:marRight w:val="0"/>
          <w:marTop w:val="0"/>
          <w:marBottom w:val="0"/>
          <w:divBdr>
            <w:top w:val="none" w:sz="0" w:space="0" w:color="auto"/>
            <w:left w:val="none" w:sz="0" w:space="0" w:color="auto"/>
            <w:bottom w:val="none" w:sz="0" w:space="0" w:color="auto"/>
            <w:right w:val="none" w:sz="0" w:space="0" w:color="auto"/>
          </w:divBdr>
        </w:div>
        <w:div w:id="1114447412">
          <w:marLeft w:val="0"/>
          <w:marRight w:val="0"/>
          <w:marTop w:val="0"/>
          <w:marBottom w:val="0"/>
          <w:divBdr>
            <w:top w:val="none" w:sz="0" w:space="0" w:color="auto"/>
            <w:left w:val="none" w:sz="0" w:space="0" w:color="auto"/>
            <w:bottom w:val="none" w:sz="0" w:space="0" w:color="auto"/>
            <w:right w:val="none" w:sz="0" w:space="0" w:color="auto"/>
          </w:divBdr>
        </w:div>
        <w:div w:id="1145123050">
          <w:marLeft w:val="0"/>
          <w:marRight w:val="0"/>
          <w:marTop w:val="0"/>
          <w:marBottom w:val="0"/>
          <w:divBdr>
            <w:top w:val="none" w:sz="0" w:space="0" w:color="auto"/>
            <w:left w:val="none" w:sz="0" w:space="0" w:color="auto"/>
            <w:bottom w:val="none" w:sz="0" w:space="0" w:color="auto"/>
            <w:right w:val="none" w:sz="0" w:space="0" w:color="auto"/>
          </w:divBdr>
        </w:div>
        <w:div w:id="1261258971">
          <w:marLeft w:val="0"/>
          <w:marRight w:val="0"/>
          <w:marTop w:val="0"/>
          <w:marBottom w:val="0"/>
          <w:divBdr>
            <w:top w:val="none" w:sz="0" w:space="0" w:color="auto"/>
            <w:left w:val="none" w:sz="0" w:space="0" w:color="auto"/>
            <w:bottom w:val="none" w:sz="0" w:space="0" w:color="auto"/>
            <w:right w:val="none" w:sz="0" w:space="0" w:color="auto"/>
          </w:divBdr>
        </w:div>
        <w:div w:id="1294292592">
          <w:marLeft w:val="0"/>
          <w:marRight w:val="0"/>
          <w:marTop w:val="0"/>
          <w:marBottom w:val="0"/>
          <w:divBdr>
            <w:top w:val="none" w:sz="0" w:space="0" w:color="auto"/>
            <w:left w:val="none" w:sz="0" w:space="0" w:color="auto"/>
            <w:bottom w:val="none" w:sz="0" w:space="0" w:color="auto"/>
            <w:right w:val="none" w:sz="0" w:space="0" w:color="auto"/>
          </w:divBdr>
        </w:div>
        <w:div w:id="1340232855">
          <w:marLeft w:val="0"/>
          <w:marRight w:val="0"/>
          <w:marTop w:val="0"/>
          <w:marBottom w:val="0"/>
          <w:divBdr>
            <w:top w:val="none" w:sz="0" w:space="0" w:color="auto"/>
            <w:left w:val="none" w:sz="0" w:space="0" w:color="auto"/>
            <w:bottom w:val="none" w:sz="0" w:space="0" w:color="auto"/>
            <w:right w:val="none" w:sz="0" w:space="0" w:color="auto"/>
          </w:divBdr>
        </w:div>
        <w:div w:id="1364598437">
          <w:marLeft w:val="0"/>
          <w:marRight w:val="0"/>
          <w:marTop w:val="0"/>
          <w:marBottom w:val="0"/>
          <w:divBdr>
            <w:top w:val="none" w:sz="0" w:space="0" w:color="auto"/>
            <w:left w:val="none" w:sz="0" w:space="0" w:color="auto"/>
            <w:bottom w:val="none" w:sz="0" w:space="0" w:color="auto"/>
            <w:right w:val="none" w:sz="0" w:space="0" w:color="auto"/>
          </w:divBdr>
        </w:div>
        <w:div w:id="1456605651">
          <w:marLeft w:val="0"/>
          <w:marRight w:val="0"/>
          <w:marTop w:val="0"/>
          <w:marBottom w:val="0"/>
          <w:divBdr>
            <w:top w:val="none" w:sz="0" w:space="0" w:color="auto"/>
            <w:left w:val="none" w:sz="0" w:space="0" w:color="auto"/>
            <w:bottom w:val="none" w:sz="0" w:space="0" w:color="auto"/>
            <w:right w:val="none" w:sz="0" w:space="0" w:color="auto"/>
          </w:divBdr>
        </w:div>
        <w:div w:id="1471441526">
          <w:marLeft w:val="0"/>
          <w:marRight w:val="0"/>
          <w:marTop w:val="0"/>
          <w:marBottom w:val="0"/>
          <w:divBdr>
            <w:top w:val="none" w:sz="0" w:space="0" w:color="auto"/>
            <w:left w:val="none" w:sz="0" w:space="0" w:color="auto"/>
            <w:bottom w:val="none" w:sz="0" w:space="0" w:color="auto"/>
            <w:right w:val="none" w:sz="0" w:space="0" w:color="auto"/>
          </w:divBdr>
        </w:div>
        <w:div w:id="1478957859">
          <w:marLeft w:val="0"/>
          <w:marRight w:val="0"/>
          <w:marTop w:val="0"/>
          <w:marBottom w:val="0"/>
          <w:divBdr>
            <w:top w:val="none" w:sz="0" w:space="0" w:color="auto"/>
            <w:left w:val="none" w:sz="0" w:space="0" w:color="auto"/>
            <w:bottom w:val="none" w:sz="0" w:space="0" w:color="auto"/>
            <w:right w:val="none" w:sz="0" w:space="0" w:color="auto"/>
          </w:divBdr>
        </w:div>
        <w:div w:id="1632443083">
          <w:marLeft w:val="0"/>
          <w:marRight w:val="0"/>
          <w:marTop w:val="0"/>
          <w:marBottom w:val="0"/>
          <w:divBdr>
            <w:top w:val="none" w:sz="0" w:space="0" w:color="auto"/>
            <w:left w:val="none" w:sz="0" w:space="0" w:color="auto"/>
            <w:bottom w:val="none" w:sz="0" w:space="0" w:color="auto"/>
            <w:right w:val="none" w:sz="0" w:space="0" w:color="auto"/>
          </w:divBdr>
        </w:div>
        <w:div w:id="1703629374">
          <w:marLeft w:val="0"/>
          <w:marRight w:val="0"/>
          <w:marTop w:val="0"/>
          <w:marBottom w:val="0"/>
          <w:divBdr>
            <w:top w:val="none" w:sz="0" w:space="0" w:color="auto"/>
            <w:left w:val="none" w:sz="0" w:space="0" w:color="auto"/>
            <w:bottom w:val="none" w:sz="0" w:space="0" w:color="auto"/>
            <w:right w:val="none" w:sz="0" w:space="0" w:color="auto"/>
          </w:divBdr>
        </w:div>
        <w:div w:id="1769157263">
          <w:marLeft w:val="0"/>
          <w:marRight w:val="0"/>
          <w:marTop w:val="0"/>
          <w:marBottom w:val="0"/>
          <w:divBdr>
            <w:top w:val="none" w:sz="0" w:space="0" w:color="auto"/>
            <w:left w:val="none" w:sz="0" w:space="0" w:color="auto"/>
            <w:bottom w:val="none" w:sz="0" w:space="0" w:color="auto"/>
            <w:right w:val="none" w:sz="0" w:space="0" w:color="auto"/>
          </w:divBdr>
        </w:div>
        <w:div w:id="1913587584">
          <w:marLeft w:val="0"/>
          <w:marRight w:val="0"/>
          <w:marTop w:val="0"/>
          <w:marBottom w:val="0"/>
          <w:divBdr>
            <w:top w:val="none" w:sz="0" w:space="0" w:color="auto"/>
            <w:left w:val="none" w:sz="0" w:space="0" w:color="auto"/>
            <w:bottom w:val="none" w:sz="0" w:space="0" w:color="auto"/>
            <w:right w:val="none" w:sz="0" w:space="0" w:color="auto"/>
          </w:divBdr>
        </w:div>
        <w:div w:id="1950038540">
          <w:marLeft w:val="0"/>
          <w:marRight w:val="0"/>
          <w:marTop w:val="0"/>
          <w:marBottom w:val="0"/>
          <w:divBdr>
            <w:top w:val="none" w:sz="0" w:space="0" w:color="auto"/>
            <w:left w:val="none" w:sz="0" w:space="0" w:color="auto"/>
            <w:bottom w:val="none" w:sz="0" w:space="0" w:color="auto"/>
            <w:right w:val="none" w:sz="0" w:space="0" w:color="auto"/>
          </w:divBdr>
        </w:div>
        <w:div w:id="2061395410">
          <w:marLeft w:val="0"/>
          <w:marRight w:val="0"/>
          <w:marTop w:val="0"/>
          <w:marBottom w:val="0"/>
          <w:divBdr>
            <w:top w:val="none" w:sz="0" w:space="0" w:color="auto"/>
            <w:left w:val="none" w:sz="0" w:space="0" w:color="auto"/>
            <w:bottom w:val="none" w:sz="0" w:space="0" w:color="auto"/>
            <w:right w:val="none" w:sz="0" w:space="0" w:color="auto"/>
          </w:divBdr>
        </w:div>
        <w:div w:id="2065791207">
          <w:marLeft w:val="0"/>
          <w:marRight w:val="0"/>
          <w:marTop w:val="0"/>
          <w:marBottom w:val="0"/>
          <w:divBdr>
            <w:top w:val="none" w:sz="0" w:space="0" w:color="auto"/>
            <w:left w:val="none" w:sz="0" w:space="0" w:color="auto"/>
            <w:bottom w:val="none" w:sz="0" w:space="0" w:color="auto"/>
            <w:right w:val="none" w:sz="0" w:space="0" w:color="auto"/>
          </w:divBdr>
        </w:div>
        <w:div w:id="2080204747">
          <w:marLeft w:val="0"/>
          <w:marRight w:val="0"/>
          <w:marTop w:val="0"/>
          <w:marBottom w:val="0"/>
          <w:divBdr>
            <w:top w:val="none" w:sz="0" w:space="0" w:color="auto"/>
            <w:left w:val="none" w:sz="0" w:space="0" w:color="auto"/>
            <w:bottom w:val="none" w:sz="0" w:space="0" w:color="auto"/>
            <w:right w:val="none" w:sz="0" w:space="0" w:color="auto"/>
          </w:divBdr>
        </w:div>
        <w:div w:id="2138987303">
          <w:marLeft w:val="0"/>
          <w:marRight w:val="0"/>
          <w:marTop w:val="0"/>
          <w:marBottom w:val="0"/>
          <w:divBdr>
            <w:top w:val="none" w:sz="0" w:space="0" w:color="auto"/>
            <w:left w:val="none" w:sz="0" w:space="0" w:color="auto"/>
            <w:bottom w:val="none" w:sz="0" w:space="0" w:color="auto"/>
            <w:right w:val="none" w:sz="0" w:space="0" w:color="auto"/>
          </w:divBdr>
        </w:div>
      </w:divsChild>
    </w:div>
    <w:div w:id="893732126">
      <w:bodyDiv w:val="1"/>
      <w:marLeft w:val="0"/>
      <w:marRight w:val="0"/>
      <w:marTop w:val="0"/>
      <w:marBottom w:val="0"/>
      <w:divBdr>
        <w:top w:val="none" w:sz="0" w:space="0" w:color="auto"/>
        <w:left w:val="none" w:sz="0" w:space="0" w:color="auto"/>
        <w:bottom w:val="none" w:sz="0" w:space="0" w:color="auto"/>
        <w:right w:val="none" w:sz="0" w:space="0" w:color="auto"/>
      </w:divBdr>
    </w:div>
    <w:div w:id="1564873451">
      <w:bodyDiv w:val="1"/>
      <w:marLeft w:val="0"/>
      <w:marRight w:val="0"/>
      <w:marTop w:val="0"/>
      <w:marBottom w:val="0"/>
      <w:divBdr>
        <w:top w:val="none" w:sz="0" w:space="0" w:color="auto"/>
        <w:left w:val="none" w:sz="0" w:space="0" w:color="auto"/>
        <w:bottom w:val="none" w:sz="0" w:space="0" w:color="auto"/>
        <w:right w:val="none" w:sz="0" w:space="0" w:color="auto"/>
      </w:divBdr>
    </w:div>
    <w:div w:id="2045474187">
      <w:bodyDiv w:val="1"/>
      <w:marLeft w:val="0"/>
      <w:marRight w:val="0"/>
      <w:marTop w:val="0"/>
      <w:marBottom w:val="0"/>
      <w:divBdr>
        <w:top w:val="none" w:sz="0" w:space="0" w:color="auto"/>
        <w:left w:val="none" w:sz="0" w:space="0" w:color="auto"/>
        <w:bottom w:val="none" w:sz="0" w:space="0" w:color="auto"/>
        <w:right w:val="none" w:sz="0" w:space="0" w:color="auto"/>
      </w:divBdr>
    </w:div>
    <w:div w:id="2099591348">
      <w:bodyDiv w:val="1"/>
      <w:marLeft w:val="0"/>
      <w:marRight w:val="0"/>
      <w:marTop w:val="0"/>
      <w:marBottom w:val="0"/>
      <w:divBdr>
        <w:top w:val="none" w:sz="0" w:space="0" w:color="auto"/>
        <w:left w:val="none" w:sz="0" w:space="0" w:color="auto"/>
        <w:bottom w:val="none" w:sz="0" w:space="0" w:color="auto"/>
        <w:right w:val="none" w:sz="0" w:space="0" w:color="auto"/>
      </w:divBdr>
      <w:divsChild>
        <w:div w:id="65539839">
          <w:marLeft w:val="0"/>
          <w:marRight w:val="0"/>
          <w:marTop w:val="0"/>
          <w:marBottom w:val="0"/>
          <w:divBdr>
            <w:top w:val="none" w:sz="0" w:space="0" w:color="auto"/>
            <w:left w:val="none" w:sz="0" w:space="0" w:color="auto"/>
            <w:bottom w:val="none" w:sz="0" w:space="0" w:color="auto"/>
            <w:right w:val="none" w:sz="0" w:space="0" w:color="auto"/>
          </w:divBdr>
        </w:div>
        <w:div w:id="101927401">
          <w:marLeft w:val="0"/>
          <w:marRight w:val="0"/>
          <w:marTop w:val="0"/>
          <w:marBottom w:val="0"/>
          <w:divBdr>
            <w:top w:val="none" w:sz="0" w:space="0" w:color="auto"/>
            <w:left w:val="none" w:sz="0" w:space="0" w:color="auto"/>
            <w:bottom w:val="none" w:sz="0" w:space="0" w:color="auto"/>
            <w:right w:val="none" w:sz="0" w:space="0" w:color="auto"/>
          </w:divBdr>
        </w:div>
        <w:div w:id="155847689">
          <w:marLeft w:val="0"/>
          <w:marRight w:val="0"/>
          <w:marTop w:val="0"/>
          <w:marBottom w:val="0"/>
          <w:divBdr>
            <w:top w:val="none" w:sz="0" w:space="0" w:color="auto"/>
            <w:left w:val="none" w:sz="0" w:space="0" w:color="auto"/>
            <w:bottom w:val="none" w:sz="0" w:space="0" w:color="auto"/>
            <w:right w:val="none" w:sz="0" w:space="0" w:color="auto"/>
          </w:divBdr>
        </w:div>
        <w:div w:id="168644044">
          <w:marLeft w:val="0"/>
          <w:marRight w:val="0"/>
          <w:marTop w:val="0"/>
          <w:marBottom w:val="0"/>
          <w:divBdr>
            <w:top w:val="none" w:sz="0" w:space="0" w:color="auto"/>
            <w:left w:val="none" w:sz="0" w:space="0" w:color="auto"/>
            <w:bottom w:val="none" w:sz="0" w:space="0" w:color="auto"/>
            <w:right w:val="none" w:sz="0" w:space="0" w:color="auto"/>
          </w:divBdr>
        </w:div>
        <w:div w:id="201985995">
          <w:marLeft w:val="0"/>
          <w:marRight w:val="0"/>
          <w:marTop w:val="0"/>
          <w:marBottom w:val="0"/>
          <w:divBdr>
            <w:top w:val="none" w:sz="0" w:space="0" w:color="auto"/>
            <w:left w:val="none" w:sz="0" w:space="0" w:color="auto"/>
            <w:bottom w:val="none" w:sz="0" w:space="0" w:color="auto"/>
            <w:right w:val="none" w:sz="0" w:space="0" w:color="auto"/>
          </w:divBdr>
        </w:div>
        <w:div w:id="241180576">
          <w:marLeft w:val="0"/>
          <w:marRight w:val="0"/>
          <w:marTop w:val="0"/>
          <w:marBottom w:val="0"/>
          <w:divBdr>
            <w:top w:val="none" w:sz="0" w:space="0" w:color="auto"/>
            <w:left w:val="none" w:sz="0" w:space="0" w:color="auto"/>
            <w:bottom w:val="none" w:sz="0" w:space="0" w:color="auto"/>
            <w:right w:val="none" w:sz="0" w:space="0" w:color="auto"/>
          </w:divBdr>
        </w:div>
        <w:div w:id="293173121">
          <w:marLeft w:val="0"/>
          <w:marRight w:val="0"/>
          <w:marTop w:val="0"/>
          <w:marBottom w:val="0"/>
          <w:divBdr>
            <w:top w:val="none" w:sz="0" w:space="0" w:color="auto"/>
            <w:left w:val="none" w:sz="0" w:space="0" w:color="auto"/>
            <w:bottom w:val="none" w:sz="0" w:space="0" w:color="auto"/>
            <w:right w:val="none" w:sz="0" w:space="0" w:color="auto"/>
          </w:divBdr>
        </w:div>
        <w:div w:id="400295755">
          <w:marLeft w:val="0"/>
          <w:marRight w:val="0"/>
          <w:marTop w:val="0"/>
          <w:marBottom w:val="0"/>
          <w:divBdr>
            <w:top w:val="none" w:sz="0" w:space="0" w:color="auto"/>
            <w:left w:val="none" w:sz="0" w:space="0" w:color="auto"/>
            <w:bottom w:val="none" w:sz="0" w:space="0" w:color="auto"/>
            <w:right w:val="none" w:sz="0" w:space="0" w:color="auto"/>
          </w:divBdr>
        </w:div>
        <w:div w:id="607473544">
          <w:marLeft w:val="0"/>
          <w:marRight w:val="0"/>
          <w:marTop w:val="0"/>
          <w:marBottom w:val="0"/>
          <w:divBdr>
            <w:top w:val="none" w:sz="0" w:space="0" w:color="auto"/>
            <w:left w:val="none" w:sz="0" w:space="0" w:color="auto"/>
            <w:bottom w:val="none" w:sz="0" w:space="0" w:color="auto"/>
            <w:right w:val="none" w:sz="0" w:space="0" w:color="auto"/>
          </w:divBdr>
        </w:div>
        <w:div w:id="640114934">
          <w:marLeft w:val="0"/>
          <w:marRight w:val="0"/>
          <w:marTop w:val="0"/>
          <w:marBottom w:val="0"/>
          <w:divBdr>
            <w:top w:val="none" w:sz="0" w:space="0" w:color="auto"/>
            <w:left w:val="none" w:sz="0" w:space="0" w:color="auto"/>
            <w:bottom w:val="none" w:sz="0" w:space="0" w:color="auto"/>
            <w:right w:val="none" w:sz="0" w:space="0" w:color="auto"/>
          </w:divBdr>
        </w:div>
        <w:div w:id="652681792">
          <w:marLeft w:val="0"/>
          <w:marRight w:val="0"/>
          <w:marTop w:val="0"/>
          <w:marBottom w:val="0"/>
          <w:divBdr>
            <w:top w:val="none" w:sz="0" w:space="0" w:color="auto"/>
            <w:left w:val="none" w:sz="0" w:space="0" w:color="auto"/>
            <w:bottom w:val="none" w:sz="0" w:space="0" w:color="auto"/>
            <w:right w:val="none" w:sz="0" w:space="0" w:color="auto"/>
          </w:divBdr>
        </w:div>
        <w:div w:id="659576251">
          <w:marLeft w:val="0"/>
          <w:marRight w:val="0"/>
          <w:marTop w:val="0"/>
          <w:marBottom w:val="0"/>
          <w:divBdr>
            <w:top w:val="none" w:sz="0" w:space="0" w:color="auto"/>
            <w:left w:val="none" w:sz="0" w:space="0" w:color="auto"/>
            <w:bottom w:val="none" w:sz="0" w:space="0" w:color="auto"/>
            <w:right w:val="none" w:sz="0" w:space="0" w:color="auto"/>
          </w:divBdr>
        </w:div>
        <w:div w:id="680354239">
          <w:marLeft w:val="0"/>
          <w:marRight w:val="0"/>
          <w:marTop w:val="0"/>
          <w:marBottom w:val="0"/>
          <w:divBdr>
            <w:top w:val="none" w:sz="0" w:space="0" w:color="auto"/>
            <w:left w:val="none" w:sz="0" w:space="0" w:color="auto"/>
            <w:bottom w:val="none" w:sz="0" w:space="0" w:color="auto"/>
            <w:right w:val="none" w:sz="0" w:space="0" w:color="auto"/>
          </w:divBdr>
        </w:div>
        <w:div w:id="803231061">
          <w:marLeft w:val="0"/>
          <w:marRight w:val="0"/>
          <w:marTop w:val="0"/>
          <w:marBottom w:val="0"/>
          <w:divBdr>
            <w:top w:val="none" w:sz="0" w:space="0" w:color="auto"/>
            <w:left w:val="none" w:sz="0" w:space="0" w:color="auto"/>
            <w:bottom w:val="none" w:sz="0" w:space="0" w:color="auto"/>
            <w:right w:val="none" w:sz="0" w:space="0" w:color="auto"/>
          </w:divBdr>
        </w:div>
        <w:div w:id="892349186">
          <w:marLeft w:val="0"/>
          <w:marRight w:val="0"/>
          <w:marTop w:val="0"/>
          <w:marBottom w:val="0"/>
          <w:divBdr>
            <w:top w:val="none" w:sz="0" w:space="0" w:color="auto"/>
            <w:left w:val="none" w:sz="0" w:space="0" w:color="auto"/>
            <w:bottom w:val="none" w:sz="0" w:space="0" w:color="auto"/>
            <w:right w:val="none" w:sz="0" w:space="0" w:color="auto"/>
          </w:divBdr>
        </w:div>
        <w:div w:id="899364285">
          <w:marLeft w:val="0"/>
          <w:marRight w:val="0"/>
          <w:marTop w:val="0"/>
          <w:marBottom w:val="0"/>
          <w:divBdr>
            <w:top w:val="none" w:sz="0" w:space="0" w:color="auto"/>
            <w:left w:val="none" w:sz="0" w:space="0" w:color="auto"/>
            <w:bottom w:val="none" w:sz="0" w:space="0" w:color="auto"/>
            <w:right w:val="none" w:sz="0" w:space="0" w:color="auto"/>
          </w:divBdr>
        </w:div>
        <w:div w:id="938832817">
          <w:marLeft w:val="0"/>
          <w:marRight w:val="0"/>
          <w:marTop w:val="0"/>
          <w:marBottom w:val="0"/>
          <w:divBdr>
            <w:top w:val="none" w:sz="0" w:space="0" w:color="auto"/>
            <w:left w:val="none" w:sz="0" w:space="0" w:color="auto"/>
            <w:bottom w:val="none" w:sz="0" w:space="0" w:color="auto"/>
            <w:right w:val="none" w:sz="0" w:space="0" w:color="auto"/>
          </w:divBdr>
        </w:div>
        <w:div w:id="1006636445">
          <w:marLeft w:val="0"/>
          <w:marRight w:val="0"/>
          <w:marTop w:val="0"/>
          <w:marBottom w:val="0"/>
          <w:divBdr>
            <w:top w:val="none" w:sz="0" w:space="0" w:color="auto"/>
            <w:left w:val="none" w:sz="0" w:space="0" w:color="auto"/>
            <w:bottom w:val="none" w:sz="0" w:space="0" w:color="auto"/>
            <w:right w:val="none" w:sz="0" w:space="0" w:color="auto"/>
          </w:divBdr>
        </w:div>
        <w:div w:id="1102185854">
          <w:marLeft w:val="0"/>
          <w:marRight w:val="0"/>
          <w:marTop w:val="0"/>
          <w:marBottom w:val="0"/>
          <w:divBdr>
            <w:top w:val="none" w:sz="0" w:space="0" w:color="auto"/>
            <w:left w:val="none" w:sz="0" w:space="0" w:color="auto"/>
            <w:bottom w:val="none" w:sz="0" w:space="0" w:color="auto"/>
            <w:right w:val="none" w:sz="0" w:space="0" w:color="auto"/>
          </w:divBdr>
        </w:div>
        <w:div w:id="1102605796">
          <w:marLeft w:val="0"/>
          <w:marRight w:val="0"/>
          <w:marTop w:val="0"/>
          <w:marBottom w:val="0"/>
          <w:divBdr>
            <w:top w:val="none" w:sz="0" w:space="0" w:color="auto"/>
            <w:left w:val="none" w:sz="0" w:space="0" w:color="auto"/>
            <w:bottom w:val="none" w:sz="0" w:space="0" w:color="auto"/>
            <w:right w:val="none" w:sz="0" w:space="0" w:color="auto"/>
          </w:divBdr>
        </w:div>
        <w:div w:id="1118838117">
          <w:marLeft w:val="0"/>
          <w:marRight w:val="0"/>
          <w:marTop w:val="0"/>
          <w:marBottom w:val="0"/>
          <w:divBdr>
            <w:top w:val="none" w:sz="0" w:space="0" w:color="auto"/>
            <w:left w:val="none" w:sz="0" w:space="0" w:color="auto"/>
            <w:bottom w:val="none" w:sz="0" w:space="0" w:color="auto"/>
            <w:right w:val="none" w:sz="0" w:space="0" w:color="auto"/>
          </w:divBdr>
        </w:div>
        <w:div w:id="1148865651">
          <w:marLeft w:val="0"/>
          <w:marRight w:val="0"/>
          <w:marTop w:val="0"/>
          <w:marBottom w:val="0"/>
          <w:divBdr>
            <w:top w:val="none" w:sz="0" w:space="0" w:color="auto"/>
            <w:left w:val="none" w:sz="0" w:space="0" w:color="auto"/>
            <w:bottom w:val="none" w:sz="0" w:space="0" w:color="auto"/>
            <w:right w:val="none" w:sz="0" w:space="0" w:color="auto"/>
          </w:divBdr>
        </w:div>
        <w:div w:id="1182817725">
          <w:marLeft w:val="0"/>
          <w:marRight w:val="0"/>
          <w:marTop w:val="0"/>
          <w:marBottom w:val="0"/>
          <w:divBdr>
            <w:top w:val="none" w:sz="0" w:space="0" w:color="auto"/>
            <w:left w:val="none" w:sz="0" w:space="0" w:color="auto"/>
            <w:bottom w:val="none" w:sz="0" w:space="0" w:color="auto"/>
            <w:right w:val="none" w:sz="0" w:space="0" w:color="auto"/>
          </w:divBdr>
        </w:div>
        <w:div w:id="1213037532">
          <w:marLeft w:val="0"/>
          <w:marRight w:val="0"/>
          <w:marTop w:val="0"/>
          <w:marBottom w:val="0"/>
          <w:divBdr>
            <w:top w:val="none" w:sz="0" w:space="0" w:color="auto"/>
            <w:left w:val="none" w:sz="0" w:space="0" w:color="auto"/>
            <w:bottom w:val="none" w:sz="0" w:space="0" w:color="auto"/>
            <w:right w:val="none" w:sz="0" w:space="0" w:color="auto"/>
          </w:divBdr>
        </w:div>
        <w:div w:id="1436636963">
          <w:marLeft w:val="0"/>
          <w:marRight w:val="0"/>
          <w:marTop w:val="0"/>
          <w:marBottom w:val="0"/>
          <w:divBdr>
            <w:top w:val="none" w:sz="0" w:space="0" w:color="auto"/>
            <w:left w:val="none" w:sz="0" w:space="0" w:color="auto"/>
            <w:bottom w:val="none" w:sz="0" w:space="0" w:color="auto"/>
            <w:right w:val="none" w:sz="0" w:space="0" w:color="auto"/>
          </w:divBdr>
        </w:div>
        <w:div w:id="1521353444">
          <w:marLeft w:val="0"/>
          <w:marRight w:val="0"/>
          <w:marTop w:val="0"/>
          <w:marBottom w:val="0"/>
          <w:divBdr>
            <w:top w:val="none" w:sz="0" w:space="0" w:color="auto"/>
            <w:left w:val="none" w:sz="0" w:space="0" w:color="auto"/>
            <w:bottom w:val="none" w:sz="0" w:space="0" w:color="auto"/>
            <w:right w:val="none" w:sz="0" w:space="0" w:color="auto"/>
          </w:divBdr>
        </w:div>
        <w:div w:id="1604148581">
          <w:marLeft w:val="0"/>
          <w:marRight w:val="0"/>
          <w:marTop w:val="0"/>
          <w:marBottom w:val="0"/>
          <w:divBdr>
            <w:top w:val="none" w:sz="0" w:space="0" w:color="auto"/>
            <w:left w:val="none" w:sz="0" w:space="0" w:color="auto"/>
            <w:bottom w:val="none" w:sz="0" w:space="0" w:color="auto"/>
            <w:right w:val="none" w:sz="0" w:space="0" w:color="auto"/>
          </w:divBdr>
        </w:div>
        <w:div w:id="1622032448">
          <w:marLeft w:val="0"/>
          <w:marRight w:val="0"/>
          <w:marTop w:val="0"/>
          <w:marBottom w:val="0"/>
          <w:divBdr>
            <w:top w:val="none" w:sz="0" w:space="0" w:color="auto"/>
            <w:left w:val="none" w:sz="0" w:space="0" w:color="auto"/>
            <w:bottom w:val="none" w:sz="0" w:space="0" w:color="auto"/>
            <w:right w:val="none" w:sz="0" w:space="0" w:color="auto"/>
          </w:divBdr>
        </w:div>
        <w:div w:id="1627463470">
          <w:marLeft w:val="0"/>
          <w:marRight w:val="0"/>
          <w:marTop w:val="0"/>
          <w:marBottom w:val="0"/>
          <w:divBdr>
            <w:top w:val="none" w:sz="0" w:space="0" w:color="auto"/>
            <w:left w:val="none" w:sz="0" w:space="0" w:color="auto"/>
            <w:bottom w:val="none" w:sz="0" w:space="0" w:color="auto"/>
            <w:right w:val="none" w:sz="0" w:space="0" w:color="auto"/>
          </w:divBdr>
        </w:div>
        <w:div w:id="1635333321">
          <w:marLeft w:val="0"/>
          <w:marRight w:val="0"/>
          <w:marTop w:val="0"/>
          <w:marBottom w:val="0"/>
          <w:divBdr>
            <w:top w:val="none" w:sz="0" w:space="0" w:color="auto"/>
            <w:left w:val="none" w:sz="0" w:space="0" w:color="auto"/>
            <w:bottom w:val="none" w:sz="0" w:space="0" w:color="auto"/>
            <w:right w:val="none" w:sz="0" w:space="0" w:color="auto"/>
          </w:divBdr>
        </w:div>
        <w:div w:id="1638104824">
          <w:marLeft w:val="0"/>
          <w:marRight w:val="0"/>
          <w:marTop w:val="0"/>
          <w:marBottom w:val="0"/>
          <w:divBdr>
            <w:top w:val="none" w:sz="0" w:space="0" w:color="auto"/>
            <w:left w:val="none" w:sz="0" w:space="0" w:color="auto"/>
            <w:bottom w:val="none" w:sz="0" w:space="0" w:color="auto"/>
            <w:right w:val="none" w:sz="0" w:space="0" w:color="auto"/>
          </w:divBdr>
        </w:div>
        <w:div w:id="1851946555">
          <w:marLeft w:val="0"/>
          <w:marRight w:val="0"/>
          <w:marTop w:val="0"/>
          <w:marBottom w:val="0"/>
          <w:divBdr>
            <w:top w:val="none" w:sz="0" w:space="0" w:color="auto"/>
            <w:left w:val="none" w:sz="0" w:space="0" w:color="auto"/>
            <w:bottom w:val="none" w:sz="0" w:space="0" w:color="auto"/>
            <w:right w:val="none" w:sz="0" w:space="0" w:color="auto"/>
          </w:divBdr>
        </w:div>
        <w:div w:id="1870757449">
          <w:marLeft w:val="0"/>
          <w:marRight w:val="0"/>
          <w:marTop w:val="0"/>
          <w:marBottom w:val="0"/>
          <w:divBdr>
            <w:top w:val="none" w:sz="0" w:space="0" w:color="auto"/>
            <w:left w:val="none" w:sz="0" w:space="0" w:color="auto"/>
            <w:bottom w:val="none" w:sz="0" w:space="0" w:color="auto"/>
            <w:right w:val="none" w:sz="0" w:space="0" w:color="auto"/>
          </w:divBdr>
        </w:div>
        <w:div w:id="1923251513">
          <w:marLeft w:val="0"/>
          <w:marRight w:val="0"/>
          <w:marTop w:val="0"/>
          <w:marBottom w:val="0"/>
          <w:divBdr>
            <w:top w:val="none" w:sz="0" w:space="0" w:color="auto"/>
            <w:left w:val="none" w:sz="0" w:space="0" w:color="auto"/>
            <w:bottom w:val="none" w:sz="0" w:space="0" w:color="auto"/>
            <w:right w:val="none" w:sz="0" w:space="0" w:color="auto"/>
          </w:divBdr>
        </w:div>
      </w:divsChild>
    </w:div>
    <w:div w:id="21465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gpwbenchmark.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pl.wikipedia.org/wiki/Waluta" TargetMode="External"/><Relationship Id="rId2" Type="http://schemas.openxmlformats.org/officeDocument/2006/relationships/customXml" Target="../customXml/item2.xml"/><Relationship Id="rId16" Type="http://schemas.openxmlformats.org/officeDocument/2006/relationships/hyperlink" Target="http://pl.wikipedia.org/wiki/Kurs_walutow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nf.gov.pl"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0678F-72ED-49D1-8608-74CABE58D937}">
  <ds:schemaRefs>
    <ds:schemaRef ds:uri="http://schemas.openxmlformats.org/officeDocument/2006/bibliography"/>
  </ds:schemaRefs>
</ds:datastoreItem>
</file>

<file path=customXml/itemProps2.xml><?xml version="1.0" encoding="utf-8"?>
<ds:datastoreItem xmlns:ds="http://schemas.openxmlformats.org/officeDocument/2006/customXml" ds:itemID="{223ACED6-A040-4851-860B-45E9BFE3B9C4}">
  <ds:schemaRefs>
    <ds:schemaRef ds:uri="http://schemas.openxmlformats.org/officeDocument/2006/bibliography"/>
  </ds:schemaRefs>
</ds:datastoreItem>
</file>

<file path=customXml/itemProps3.xml><?xml version="1.0" encoding="utf-8"?>
<ds:datastoreItem xmlns:ds="http://schemas.openxmlformats.org/officeDocument/2006/customXml" ds:itemID="{679C03D3-695E-445F-A7F9-52BF821E49FC}">
  <ds:schemaRefs>
    <ds:schemaRef ds:uri="http://schemas.openxmlformats.org/officeDocument/2006/bibliography"/>
  </ds:schemaRefs>
</ds:datastoreItem>
</file>

<file path=customXml/itemProps4.xml><?xml version="1.0" encoding="utf-8"?>
<ds:datastoreItem xmlns:ds="http://schemas.openxmlformats.org/officeDocument/2006/customXml" ds:itemID="{A7DCFB1A-5C4C-4126-B22A-4B317550613F}">
  <ds:schemaRefs>
    <ds:schemaRef ds:uri="http://schemas.openxmlformats.org/officeDocument/2006/bibliography"/>
  </ds:schemaRefs>
</ds:datastoreItem>
</file>

<file path=customXml/itemProps5.xml><?xml version="1.0" encoding="utf-8"?>
<ds:datastoreItem xmlns:ds="http://schemas.openxmlformats.org/officeDocument/2006/customXml" ds:itemID="{D2BF2E6E-A6FB-4088-B70A-3A83AAB9783D}">
  <ds:schemaRefs>
    <ds:schemaRef ds:uri="http://schemas.openxmlformats.org/officeDocument/2006/bibliography"/>
  </ds:schemaRefs>
</ds:datastoreItem>
</file>

<file path=customXml/itemProps6.xml><?xml version="1.0" encoding="utf-8"?>
<ds:datastoreItem xmlns:ds="http://schemas.openxmlformats.org/officeDocument/2006/customXml" ds:itemID="{0A9E143D-C957-4D30-A819-672A0006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2617</Words>
  <Characters>15705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KREDYTY  MIESZKANIOWE</vt:lpstr>
    </vt:vector>
  </TitlesOfParts>
  <Company>Bank BPS S.A.</Company>
  <LinksUpToDate>false</LinksUpToDate>
  <CharactersWithSpaces>18286</CharactersWithSpaces>
  <SharedDoc>false</SharedDoc>
  <HLinks>
    <vt:vector size="36" baseType="variant">
      <vt:variant>
        <vt:i4>5242891</vt:i4>
      </vt:variant>
      <vt:variant>
        <vt:i4>15</vt:i4>
      </vt:variant>
      <vt:variant>
        <vt:i4>0</vt:i4>
      </vt:variant>
      <vt:variant>
        <vt:i4>5</vt:i4>
      </vt:variant>
      <vt:variant>
        <vt:lpwstr>https://gpwbenchmark.pl/</vt:lpwstr>
      </vt:variant>
      <vt:variant>
        <vt:lpwstr/>
      </vt:variant>
      <vt:variant>
        <vt:i4>6619171</vt:i4>
      </vt:variant>
      <vt:variant>
        <vt:i4>12</vt:i4>
      </vt:variant>
      <vt:variant>
        <vt:i4>0</vt:i4>
      </vt:variant>
      <vt:variant>
        <vt:i4>5</vt:i4>
      </vt:variant>
      <vt:variant>
        <vt:lpwstr>http://pl.wikipedia.org/wiki/Waluta</vt:lpwstr>
      </vt:variant>
      <vt:variant>
        <vt:lpwstr/>
      </vt:variant>
      <vt:variant>
        <vt:i4>5111849</vt:i4>
      </vt:variant>
      <vt:variant>
        <vt:i4>9</vt:i4>
      </vt:variant>
      <vt:variant>
        <vt:i4>0</vt:i4>
      </vt:variant>
      <vt:variant>
        <vt:i4>5</vt:i4>
      </vt:variant>
      <vt:variant>
        <vt:lpwstr>http://pl.wikipedia.org/wiki/Kurs_walutowy</vt:lpwstr>
      </vt:variant>
      <vt:variant>
        <vt:lpwstr/>
      </vt:variant>
      <vt:variant>
        <vt:i4>6815805</vt:i4>
      </vt:variant>
      <vt:variant>
        <vt:i4>6</vt:i4>
      </vt:variant>
      <vt:variant>
        <vt:i4>0</vt:i4>
      </vt:variant>
      <vt:variant>
        <vt:i4>5</vt:i4>
      </vt:variant>
      <vt:variant>
        <vt:lpwstr>http://www.knf.gov.pl/</vt:lpwstr>
      </vt:variant>
      <vt:variant>
        <vt:lpwstr/>
      </vt:variant>
      <vt:variant>
        <vt:i4>5242891</vt:i4>
      </vt:variant>
      <vt:variant>
        <vt:i4>3</vt:i4>
      </vt:variant>
      <vt:variant>
        <vt:i4>0</vt:i4>
      </vt:variant>
      <vt:variant>
        <vt:i4>5</vt:i4>
      </vt:variant>
      <vt:variant>
        <vt:lpwstr>https://gpwbenchmark.pl/</vt:lpwstr>
      </vt:variant>
      <vt:variant>
        <vt:lpwstr/>
      </vt:variant>
      <vt:variant>
        <vt:i4>5242891</vt:i4>
      </vt:variant>
      <vt:variant>
        <vt:i4>0</vt:i4>
      </vt:variant>
      <vt:variant>
        <vt:i4>0</vt:i4>
      </vt:variant>
      <vt:variant>
        <vt:i4>5</vt:i4>
      </vt:variant>
      <vt:variant>
        <vt:lpwstr>https://gpwbenchmark.pl/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KREDYTY  MIESZKANIOWE</dc:title>
  <dc:subject/>
  <dc:creator>MJ</dc:creator>
  <cp:keywords/>
  <cp:lastModifiedBy>Agnieszka Kwiatkowska</cp:lastModifiedBy>
  <cp:revision>44</cp:revision>
  <cp:lastPrinted>2015-11-09T18:58:00Z</cp:lastPrinted>
  <dcterms:created xsi:type="dcterms:W3CDTF">2023-12-15T10:41:00Z</dcterms:created>
  <dcterms:modified xsi:type="dcterms:W3CDTF">2024-07-03T15:53:00Z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BANK\Marzena.Chodak;Marzena Chodak</vt:lpwstr>
  </property>
  <property fmtid="{D5CDD505-2E9C-101B-9397-08002B2CF9AE}" pid="4" name="BPSClassificationDate">
    <vt:lpwstr>2017-06-13T12:48:48.4548777+02:00</vt:lpwstr>
  </property>
  <property fmtid="{D5CDD505-2E9C-101B-9397-08002B2CF9AE}" pid="5" name="BPSClassifiedBySID">
    <vt:lpwstr>BANK\S-1-5-21-2235066060-4034229115-1914166231-42259</vt:lpwstr>
  </property>
  <property fmtid="{D5CDD505-2E9C-101B-9397-08002B2CF9AE}" pid="6" name="BPSGRNItemId">
    <vt:lpwstr>GRN-c7375296-abed-47f0-8716-bd109f0c616b</vt:lpwstr>
  </property>
  <property fmtid="{D5CDD505-2E9C-101B-9397-08002B2CF9AE}" pid="7" name="BPSHash">
    <vt:lpwstr>05SmCp3V1b2mIZi1rq+GitOulAKfiCDFx7+UQgnKrrs=</vt:lpwstr>
  </property>
  <property fmtid="{D5CDD505-2E9C-101B-9397-08002B2CF9AE}" pid="8" name="BPSRefresh">
    <vt:lpwstr>False</vt:lpwstr>
  </property>
</Properties>
</file>